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4060d8k.htm"/>
      <w:bookmarkStart w:id="1" w:name="ksd18406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NEWELL BRANDS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60" w:type="dxa"/>
        <w:jc w:val="left"/>
        <w:tblInd w:w="0" w:type="dxa"/>
        <w:tblLayout w:type="fixed"/>
        <w:tblCellMar>
          <w:top w:w="0" w:type="dxa"/>
          <w:left w:w="0" w:type="dxa"/>
          <w:bottom w:w="0" w:type="dxa"/>
          <w:right w:w="0" w:type="dxa"/>
        </w:tblCellMar>
      </w:tblPr>
      <w:tblGrid>
        <w:gridCol w:w="2060"/>
        <w:gridCol w:w="60"/>
        <w:gridCol w:w="980"/>
        <w:gridCol w:w="60"/>
        <w:gridCol w:w="170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1-9608</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36-3514169</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0" w:after="0"/>
        <w:jc w:val="left"/>
        <w:rPr/>
      </w:pPr>
      <w:r>
        <w:rPr/>
        <w:t> </w:t>
      </w:r>
    </w:p>
    <w:tbl>
      <w:tblPr>
        <w:tblW w:w="5840" w:type="dxa"/>
        <w:jc w:val="left"/>
        <w:tblInd w:w="0" w:type="dxa"/>
        <w:tblLayout w:type="fixed"/>
        <w:tblCellMar>
          <w:top w:w="0" w:type="dxa"/>
          <w:left w:w="0" w:type="dxa"/>
          <w:bottom w:w="0" w:type="dxa"/>
          <w:right w:w="0" w:type="dxa"/>
        </w:tblCellMar>
      </w:tblPr>
      <w:tblGrid>
        <w:gridCol w:w="5840"/>
      </w:tblGrid>
      <w:tr>
        <w:trPr/>
        <w:tc>
          <w:tcPr>
            <w:tcW w:w="5840" w:type="dxa"/>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283"/>
              <w:jc w:val="center"/>
              <w:rPr>
                <w:b/>
              </w:rPr>
            </w:pPr>
            <w:r>
              <w:rPr>
                <w:b/>
              </w:rPr>
              <w:t>5 Concourse Parkway NE, 8th Floor</w:t>
            </w:r>
          </w:p>
        </w:tc>
      </w:tr>
      <w:tr>
        <w:trPr/>
        <w:tc>
          <w:tcPr>
            <w:tcW w:w="5840" w:type="dxa"/>
            <w:tcBorders/>
            <w:vAlign w:val="center"/>
          </w:tcPr>
          <w:p>
            <w:pPr>
              <w:pStyle w:val="TableContents"/>
              <w:bidi w:val="0"/>
              <w:spacing w:before="0" w:after="283"/>
              <w:jc w:val="center"/>
              <w:rPr>
                <w:b/>
              </w:rPr>
            </w:pPr>
            <w:r>
              <w:rPr>
                <w:b/>
              </w:rPr>
              <w:t>Atlanta, Georgia 30328</w:t>
            </w:r>
          </w:p>
        </w:tc>
      </w:tr>
      <w:tr>
        <w:trPr/>
        <w:tc>
          <w:tcPr>
            <w:tcW w:w="5840" w:type="dxa"/>
            <w:tcBorders/>
            <w:vAlign w:val="center"/>
          </w:tcPr>
          <w:p>
            <w:pPr>
              <w:pStyle w:val="TableContents"/>
              <w:bidi w:val="0"/>
              <w:spacing w:before="0" w:after="283"/>
              <w:jc w:val="center"/>
              <w:rPr>
                <w:b/>
              </w:rPr>
            </w:pPr>
            <w:r>
              <w:rPr>
                <w:b/>
              </w:rPr>
              <w:t>(Address of principal executive offices including zip code)</w:t>
            </w:r>
          </w:p>
        </w:tc>
      </w:tr>
    </w:tbl>
    <w:p>
      <w:pPr>
        <w:pStyle w:val="TextBody"/>
        <w:bidi w:val="0"/>
        <w:spacing w:before="240" w:after="0"/>
        <w:jc w:val="center"/>
        <w:rPr>
          <w:rFonts w:ascii="Times New Roman" w:hAnsi="Times New Roman"/>
          <w:b/>
          <w:sz w:val="20"/>
        </w:rPr>
      </w:pPr>
      <w:r>
        <w:rPr>
          <w:rFonts w:ascii="Times New Roman" w:hAnsi="Times New Roman"/>
          <w:b/>
          <w:sz w:val="20"/>
        </w:rPr>
        <w:t>(770) 418-7000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15" w:type="dxa"/>
        <w:jc w:val="left"/>
        <w:tblInd w:w="0" w:type="dxa"/>
        <w:tblLayout w:type="fixed"/>
        <w:tblCellMar>
          <w:top w:w="0" w:type="dxa"/>
          <w:left w:w="0" w:type="dxa"/>
          <w:bottom w:w="0" w:type="dxa"/>
          <w:right w:w="0" w:type="dxa"/>
        </w:tblCellMar>
      </w:tblPr>
      <w:tblGrid>
        <w:gridCol w:w="3680"/>
        <w:gridCol w:w="60"/>
        <w:gridCol w:w="800"/>
        <w:gridCol w:w="60"/>
        <w:gridCol w:w="2615"/>
      </w:tblGrid>
      <w:tr>
        <w:trPr/>
        <w:tc>
          <w:tcPr>
            <w:tcW w:w="3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r>
      <w:tr>
        <w:trPr/>
        <w:tc>
          <w:tcPr>
            <w:tcW w:w="3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680" w:type="dxa"/>
            <w:tcBorders/>
            <w:vAlign w:val="center"/>
          </w:tcPr>
          <w:p>
            <w:pPr>
              <w:pStyle w:val="TableContents"/>
              <w:bidi w:val="0"/>
              <w:spacing w:before="0" w:after="283"/>
              <w:jc w:val="center"/>
              <w:rPr/>
            </w:pPr>
            <w:r>
              <w:rPr/>
              <w:t>Common stock, $1 par value per share</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NWL</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center"/>
              <w:rPr/>
            </w:pPr>
            <w:r>
              <w:rPr/>
              <w:t>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12(g) of the Act: None</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940" w:type="dxa"/>
        <w:jc w:val="left"/>
        <w:tblInd w:w="0" w:type="dxa"/>
        <w:tblLayout w:type="fixed"/>
        <w:tblCellMar>
          <w:top w:w="0" w:type="dxa"/>
          <w:left w:w="0" w:type="dxa"/>
          <w:bottom w:w="0" w:type="dxa"/>
          <w:right w:w="0" w:type="dxa"/>
        </w:tblCellMar>
      </w:tblPr>
      <w:tblGrid>
        <w:gridCol w:w="1025"/>
        <w:gridCol w:w="2915"/>
      </w:tblGrid>
      <w:tr>
        <w:trPr/>
        <w:tc>
          <w:tcPr>
            <w:tcW w:w="1025" w:type="dxa"/>
            <w:tcBorders/>
            <w:vAlign w:val="center"/>
          </w:tcPr>
          <w:p>
            <w:pPr>
              <w:pStyle w:val="TableContents"/>
              <w:bidi w:val="0"/>
              <w:spacing w:before="0" w:after="283"/>
              <w:jc w:val="left"/>
              <w:rPr>
                <w:b/>
              </w:rPr>
            </w:pPr>
            <w:r>
              <w:rPr>
                <w:b/>
              </w:rPr>
              <w:t>Item 1.01.</w:t>
            </w:r>
          </w:p>
        </w:tc>
        <w:tc>
          <w:tcPr>
            <w:tcW w:w="29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19, 2026, Newell Brands Inc. (the “Company”) issued $600,000,000 of aggregate principal amount of 6.250% senior notes due 2031 (the “Notes”) in an offering exempt from the registration requirements of the Securities Act of 1933 (the “Securities Act”). The Company intends to use the net proceeds from the sale of the Notes to redeem in full its outstanding 6.375% senior notes due 2027 (the “2027 Notes”), pay related fees and expenses in connection with the offering and the redemption, and repay a portion of the amount outstanding under its five-year asset-based revolving credit facility, dated as of July 30, 2026. On August 18, 2026, the Company issued a supplemental notice to holders of the 2027 Notes announcing a redemption price for such 2027 Notes equal to 101.530%, or $1,015.30 per $1,000 aggregate principal amount of the 2027 Notes plus the accrued and unpaid interest to, but not including, the redemption date of August 20, 2026. Neither this Current Report on Form 8-K nor anything contained herein shall constitute a notice of redemption or an offer to redeem or purchase any of the outstanding 2027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were issued pursuant to an Indenture, dated as of August 19, 2026, between the Company and U.S. Bank Trust Company, National Association (the “Indenture”). The Indenture provides, among other things, that the Notes are the senior unsecured obligations of the Company and include covenants that limit the ability of the Company and its subsidiaries to incur or guarantee additional debt, create or permit certain liens, redeem or repurchase certain debt, consummate certain asset sales, make certain loans and investments, consolidate, merge, or sell all or substantially all of the Company and its subsidiaries assets, enter into certain transactions with affiliates and pay distributions on, or redeem or repurchase the Company’s capital stock, subject in each case to certain qualifications and exceptions, including the termination of certain of these covenants upon the Notes receiving investment grade credit ratings. </w:t>
      </w:r>
    </w:p>
    <w:p>
      <w:pPr>
        <w:pStyle w:val="TextBody"/>
        <w:bidi w:val="0"/>
        <w:spacing w:before="240" w:after="0"/>
        <w:jc w:val="left"/>
        <w:rPr>
          <w:rFonts w:ascii="Times New Roman" w:hAnsi="Times New Roman"/>
          <w:sz w:val="20"/>
        </w:rPr>
      </w:pPr>
      <w:r>
        <w:rPr>
          <w:rFonts w:ascii="Times New Roman" w:hAnsi="Times New Roman"/>
          <w:sz w:val="20"/>
        </w:rPr>
        <w:t xml:space="preserve">If a specified event deemed to be a change of control of the Company and a ratings downgrade occur, the Company will be required to offer to repurchase all outstanding Notes at a purchase price in cash equal to 101% of the principal amount thereof on the date of purchase plus accrued and unpaid interest, if any, to, but excluding, the repurchase date.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customary events of default that include (subject in certain cases to customary grace and cure periods), among others, nonpayment of principal or interest, failure to pay certain other indebtedness, certain events of bankruptcy, insolvency or reorganization, and failure to pay certain final judgments. </w:t>
      </w:r>
    </w:p>
    <w:p>
      <w:pPr>
        <w:pStyle w:val="TextBody"/>
        <w:bidi w:val="0"/>
        <w:spacing w:before="240" w:after="0"/>
        <w:jc w:val="left"/>
        <w:rPr>
          <w:rFonts w:ascii="Times New Roman" w:hAnsi="Times New Roman"/>
          <w:sz w:val="20"/>
        </w:rPr>
      </w:pPr>
      <w:r>
        <w:rPr>
          <w:rFonts w:ascii="Times New Roman" w:hAnsi="Times New Roman"/>
          <w:sz w:val="20"/>
        </w:rPr>
        <w:t xml:space="preserve">The Notes were issued in a transaction exempt from registration under the Securities Act and all state securities laws. The offer and sale of the Notes will not be and have not been registered under the Securities Act and may not be offered or sold in the United States absent registration or an applicable exemption from the registration requirements of the Securities Act and any applicable securities laws of any state or other jurisdiction. This Current Report on Form 8-K does not constitute an offer to sell, or the solicitation of an offer to buy,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Copies of the Indenture and the form of the Notes are filed as Exhibits 4.1 and 4.2, respectively, to this Current Report on Form 8-K and are incorporated herein by reference.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7"/>
        <w:gridCol w:w="9218"/>
      </w:tblGrid>
      <w:tr>
        <w:trPr/>
        <w:tc>
          <w:tcPr>
            <w:tcW w:w="987" w:type="dxa"/>
            <w:tcBorders/>
            <w:vAlign w:val="center"/>
          </w:tcPr>
          <w:p>
            <w:pPr>
              <w:pStyle w:val="TableContents"/>
              <w:bidi w:val="0"/>
              <w:spacing w:before="0" w:after="283"/>
              <w:jc w:val="left"/>
              <w:rPr>
                <w:b/>
              </w:rPr>
            </w:pPr>
            <w:r>
              <w:rPr>
                <w:b/>
              </w:rPr>
              <w:t>Item 2.03.</w:t>
            </w:r>
          </w:p>
        </w:tc>
        <w:tc>
          <w:tcPr>
            <w:tcW w:w="921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above under Item 1.01 is incorporated herein by reference into this Item 2.03.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84060dex41.htm">
              <w:r>
                <w:rPr>
                  <w:rStyle w:val="InternetLink"/>
                </w:rPr>
                <w:t xml:space="preserve">Indenture, dated August 19, 2026, by and between the Company and U.S. Bank Trust Company, National Association, as trustee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84060dex41.htm">
              <w:r>
                <w:rPr>
                  <w:rStyle w:val="InternetLink"/>
                </w:rPr>
                <w:t xml:space="preserve">Form of 6.250% senior note due 2031 (included in Exhibit 4.1 hereof)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(formatted as inline XBRL and embedded within the document)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993" w:type="dxa"/>
        <w:jc w:val="left"/>
        <w:tblInd w:w="0" w:type="dxa"/>
        <w:tblLayout w:type="fixed"/>
        <w:tblCellMar>
          <w:top w:w="0" w:type="dxa"/>
          <w:left w:w="0" w:type="dxa"/>
          <w:bottom w:w="0" w:type="dxa"/>
          <w:right w:w="0" w:type="dxa"/>
        </w:tblCellMar>
      </w:tblPr>
      <w:tblGrid>
        <w:gridCol w:w="2315"/>
        <w:gridCol w:w="60"/>
        <w:gridCol w:w="23"/>
        <w:gridCol w:w="60"/>
        <w:gridCol w:w="365"/>
        <w:gridCol w:w="60"/>
        <w:gridCol w:w="6110"/>
      </w:tblGrid>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10"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b/>
              </w:rPr>
            </w:pPr>
            <w:r>
              <w:rPr>
                <w:b/>
              </w:rPr>
              <w:t>NEWELL BRANDS INC.</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170"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pPr>
            <w:r>
              <w:rPr/>
              <w:t>Dated: August 19,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Bradford R. Turner</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Bradford R. Turner</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Chief Legal and Administrative Officer and Corporate Secretary</w:t>
            </w:r>
          </w:p>
        </w:tc>
      </w:tr>
    </w:tbl>
    <w:p>
      <w:pPr>
        <w:pStyle w:val="TextBody"/>
        <w:bidi w:val="0"/>
        <w:spacing w:before="0" w:after="0"/>
        <w:jc w:val="right"/>
        <w:rPr>
          <w:rFonts w:ascii="Times New Roman" w:hAnsi="Times New Roman"/>
          <w:b/>
          <w:sz w:val="20"/>
        </w:rPr>
      </w:pPr>
      <w:bookmarkStart w:id="2" w:name="d184060dex41.htm"/>
      <w:bookmarkStart w:id="3" w:name="ksd184060dex41"/>
      <w:bookmarkEnd w:id="2"/>
      <w:bookmarkEnd w:id="3"/>
      <w:r>
        <w:rPr>
          <w:rFonts w:ascii="Times New Roman" w:hAnsi="Times New Roman"/>
          <w:b/>
          <w:sz w:val="20"/>
        </w:rPr>
        <w:t xml:space="preserve">Exhibit 4.1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19, 2026 </w:t>
      </w:r>
    </w:p>
    <w:p>
      <w:pPr>
        <w:pStyle w:val="TextBody"/>
        <w:bidi w:val="0"/>
        <w:spacing w:before="240" w:after="0"/>
        <w:jc w:val="center"/>
        <w:rPr>
          <w:rFonts w:ascii="Times New Roman" w:hAnsi="Times New Roman"/>
          <w:sz w:val="20"/>
        </w:rPr>
      </w:pPr>
      <w:r>
        <w:rPr>
          <w:rFonts w:ascii="Times New Roman" w:hAnsi="Times New Roman"/>
          <w:sz w:val="20"/>
        </w:rPr>
        <w:t xml:space="preserve">Between </w:t>
      </w:r>
    </w:p>
    <w:p>
      <w:pPr>
        <w:pStyle w:val="TextBody"/>
        <w:bidi w:val="0"/>
        <w:spacing w:before="240" w:after="0"/>
        <w:jc w:val="center"/>
        <w:rPr>
          <w:rFonts w:ascii="Times New Roman" w:hAnsi="Times New Roman"/>
          <w:sz w:val="20"/>
        </w:rPr>
      </w:pPr>
      <w:r>
        <w:rPr>
          <w:rFonts w:ascii="Times New Roman" w:hAnsi="Times New Roman"/>
          <w:sz w:val="20"/>
        </w:rPr>
        <w:t xml:space="preserve">NEWELL BRANDS INC., </w:t>
      </w:r>
    </w:p>
    <w:p>
      <w:pPr>
        <w:pStyle w:val="TextBody"/>
        <w:bidi w:val="0"/>
        <w:spacing w:before="240" w:after="0"/>
        <w:jc w:val="center"/>
        <w:rPr>
          <w:rFonts w:ascii="Times New Roman" w:hAnsi="Times New Roman"/>
          <w:sz w:val="20"/>
        </w:rPr>
      </w:pPr>
      <w:r>
        <w:rPr>
          <w:rFonts w:ascii="Times New Roman" w:hAnsi="Times New Roman"/>
          <w:sz w:val="20"/>
        </w:rPr>
        <w:t xml:space="preserve">as Issuer,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p>
    <w:p>
      <w:pPr>
        <w:pStyle w:val="TextBody"/>
        <w:bidi w:val="0"/>
        <w:spacing w:before="240" w:after="0"/>
        <w:jc w:val="center"/>
        <w:rPr>
          <w:rFonts w:ascii="Times New Roman" w:hAnsi="Times New Roman"/>
          <w:sz w:val="20"/>
        </w:rPr>
      </w:pPr>
      <w:r>
        <w:rPr>
          <w:rFonts w:ascii="Times New Roman" w:hAnsi="Times New Roman"/>
          <w:sz w:val="20"/>
        </w:rPr>
        <w:t xml:space="preserve">6.250% SENIOR NOTES DUE 2031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10425" w:type="dxa"/>
        <w:jc w:val="center"/>
        <w:tblInd w:w="0" w:type="dxa"/>
        <w:tblLayout w:type="fixed"/>
        <w:tblCellMar>
          <w:top w:w="0" w:type="dxa"/>
          <w:left w:w="0" w:type="dxa"/>
          <w:bottom w:w="0" w:type="dxa"/>
          <w:right w:w="0" w:type="dxa"/>
        </w:tblCellMar>
      </w:tblPr>
      <w:tblGrid>
        <w:gridCol w:w="1235"/>
        <w:gridCol w:w="60"/>
        <w:gridCol w:w="8465"/>
        <w:gridCol w:w="120"/>
        <w:gridCol w:w="90"/>
        <w:gridCol w:w="395"/>
        <w:gridCol w:w="60"/>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85" w:type="dxa"/>
            <w:gridSpan w:val="2"/>
            <w:tcBorders/>
            <w:vAlign w:val="bottom"/>
          </w:tcPr>
          <w:p>
            <w:pPr>
              <w:pStyle w:val="TableContents"/>
              <w:bidi w:val="0"/>
              <w:spacing w:before="0" w:after="283"/>
              <w:jc w:val="center"/>
              <w:rPr/>
            </w:pPr>
            <w:r>
              <w:rPr/>
              <w:t>Page</w:t>
            </w:r>
          </w:p>
        </w:tc>
        <w:tc>
          <w:tcPr>
            <w:tcW w:w="60" w:type="dxa"/>
            <w:tcBorders/>
            <w:vAlign w:val="bottom"/>
          </w:tcPr>
          <w:p>
            <w:pPr>
              <w:pStyle w:val="TableContents"/>
              <w:bidi w:val="0"/>
              <w:spacing w:before="0" w:after="283"/>
              <w:jc w:val="left"/>
              <w:rPr/>
            </w:pPr>
            <w:r>
              <w:rPr/>
              <w:t> </w:t>
            </w:r>
          </w:p>
        </w:tc>
      </w:tr>
      <w:tr>
        <w:trPr>
          <w:trHeight w:val="120" w:hRule="atLeast"/>
        </w:trPr>
        <w:tc>
          <w:tcPr>
            <w:tcW w:w="976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976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 AND INCORPORATION BY REFERENCE</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Definitions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Other Definitions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Rules of Construction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Limited Condition Transactions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r>
      <w:tr>
        <w:trPr>
          <w:trHeight w:val="120" w:hRule="atLeast"/>
        </w:trPr>
        <w:tc>
          <w:tcPr>
            <w:tcW w:w="976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976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NOTES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Form and Dating</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Execution and Authentication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Registrar; Paying Agent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Paying Agent to Hold Money in Trust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Holder Lists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Book-Entry Provisions for Global Notes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Replacement Notes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Outstanding Notes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Treasury Notes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Temporary Notes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Cancellation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Defaulted Interest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Computation of Interest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CUSIP and ISIN Numbers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Transfer and Exchange</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Issuance of Additional Notes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r>
      <w:tr>
        <w:trPr>
          <w:trHeight w:val="120" w:hRule="atLeast"/>
        </w:trPr>
        <w:tc>
          <w:tcPr>
            <w:tcW w:w="976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976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REDEMPTION AND PREPAYMENT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Notices to Trustee</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Selection of Notes to Be Redeemed</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Notice of Redemption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Effect of Notice of Redemption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Deposit of Redemption Price</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Notes Redeemed in Part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Optional Redemption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r>
      <w:tr>
        <w:trPr>
          <w:trHeight w:val="120" w:hRule="atLeast"/>
        </w:trPr>
        <w:tc>
          <w:tcPr>
            <w:tcW w:w="976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976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COVENANTS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Payment of Notes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Maintenance of Office or Agency</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Reporting</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Compliance Certificate</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[Reserved].</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Waiver of Stay or Extension Laws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4.7.</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Limitation on Restricted Payments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4.8.</w:t>
            </w:r>
          </w:p>
        </w:tc>
        <w:tc>
          <w:tcPr>
            <w:tcW w:w="60" w:type="dxa"/>
            <w:tcBorders/>
            <w:vAlign w:val="bottom"/>
          </w:tcPr>
          <w:p>
            <w:pPr>
              <w:pStyle w:val="TableContents"/>
              <w:bidi w:val="0"/>
              <w:spacing w:before="0" w:after="283"/>
              <w:jc w:val="left"/>
              <w:rPr/>
            </w:pPr>
            <w:r>
              <w:rPr/>
              <w:t> </w:t>
            </w:r>
          </w:p>
        </w:tc>
        <w:tc>
          <w:tcPr>
            <w:tcW w:w="8465" w:type="dxa"/>
            <w:tcBorders/>
            <w:vAlign w:val="bottom"/>
          </w:tcPr>
          <w:p>
            <w:pPr>
              <w:pStyle w:val="TableContents"/>
              <w:bidi w:val="0"/>
              <w:spacing w:before="0" w:after="283"/>
              <w:jc w:val="left"/>
              <w:rPr/>
            </w:pPr>
            <w:r>
              <w:rPr/>
              <w:t>Limitation on Dividend and Other Payment Restrictions Affecting Restricted Subsidiaries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06"/>
        <w:gridCol w:w="78"/>
        <w:gridCol w:w="8205"/>
        <w:gridCol w:w="132"/>
        <w:gridCol w:w="60"/>
        <w:gridCol w:w="260"/>
        <w:gridCol w:w="64"/>
      </w:tblGrid>
      <w:tr>
        <w:trPr/>
        <w:tc>
          <w:tcPr>
            <w:tcW w:w="1406"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8205"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4.9.</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Limitation on Debt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Limitation on Asset Dispositions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Limitation on Transactions with Affiliates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Limitation on Liens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Limitation on Liens at Issuer’s Election Following the Termination Date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Offer to Repurchase Upon Change of Control.</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4.15.</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Corporate Existence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4.16.</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Future Guarantees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4.17.</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Designation of Restricted and Unrestricted Subsidiaries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4.18.</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Termination of Certain Covenants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120" w:hRule="atLeast"/>
        </w:trPr>
        <w:tc>
          <w:tcPr>
            <w:tcW w:w="9689" w:type="dxa"/>
            <w:gridSpan w:val="3"/>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SUCCESSORS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Consolidations, Mergers, and Certain Sales of Assets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rHeight w:val="120" w:hRule="atLeast"/>
        </w:trPr>
        <w:tc>
          <w:tcPr>
            <w:tcW w:w="9689" w:type="dxa"/>
            <w:gridSpan w:val="3"/>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DEFAULTS AND REMEDIES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Events of Default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Acceleration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Trustee May Enforce Claims Without Possession of Notes.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Waiver of Past Defaults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Control by Majority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Limitation on Suits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Rights of Holders of Notes to Receive Payment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Collection Suit by Trustee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Trustee May File Proofs of Claim</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Priorities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Restoration of Rights and Remedies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Rights and Remedies Cumulative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Delay or Omission Not Waiver</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rHeight w:val="120" w:hRule="atLeast"/>
        </w:trPr>
        <w:tc>
          <w:tcPr>
            <w:tcW w:w="9689" w:type="dxa"/>
            <w:gridSpan w:val="3"/>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TRUSTEE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Duties of Trustee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Rights of Trustee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Individual Rights of the Trustee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Trustee’s Disclaimer</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Notice of Defaults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Compensation and Indemnity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Replacement of Trustee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Successor Trustee by Merger, Etc.</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Eligibility; Disqualification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rHeight w:val="120" w:hRule="atLeast"/>
        </w:trPr>
        <w:tc>
          <w:tcPr>
            <w:tcW w:w="9689" w:type="dxa"/>
            <w:gridSpan w:val="3"/>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DEFEASANCE; DISCHARGE OF THIS INDENTURE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Option to Effect Legal Defeasance or Covenant Defeasance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Legal Defeasance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Covenant Defeasance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406"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78" w:type="dxa"/>
            <w:tcBorders/>
            <w:vAlign w:val="bottom"/>
          </w:tcPr>
          <w:p>
            <w:pPr>
              <w:pStyle w:val="TableContents"/>
              <w:bidi w:val="0"/>
              <w:spacing w:before="0" w:after="283"/>
              <w:jc w:val="left"/>
              <w:rPr/>
            </w:pPr>
            <w:r>
              <w:rPr/>
              <w:t> </w:t>
            </w:r>
          </w:p>
        </w:tc>
        <w:tc>
          <w:tcPr>
            <w:tcW w:w="8205" w:type="dxa"/>
            <w:tcBorders/>
            <w:vAlign w:val="bottom"/>
          </w:tcPr>
          <w:p>
            <w:pPr>
              <w:pStyle w:val="TableContents"/>
              <w:bidi w:val="0"/>
              <w:spacing w:before="0" w:after="283"/>
              <w:jc w:val="left"/>
              <w:rPr/>
            </w:pPr>
            <w:r>
              <w:rPr/>
              <w:t>Conditions to Legal or Covenant Defeasance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12045" w:type="dxa"/>
        <w:jc w:val="center"/>
        <w:tblInd w:w="0" w:type="dxa"/>
        <w:tblLayout w:type="fixed"/>
        <w:tblCellMar>
          <w:top w:w="0" w:type="dxa"/>
          <w:left w:w="0" w:type="dxa"/>
          <w:bottom w:w="0" w:type="dxa"/>
          <w:right w:w="0" w:type="dxa"/>
        </w:tblCellMar>
      </w:tblPr>
      <w:tblGrid>
        <w:gridCol w:w="1340"/>
        <w:gridCol w:w="60"/>
        <w:gridCol w:w="10025"/>
        <w:gridCol w:w="120"/>
        <w:gridCol w:w="60"/>
        <w:gridCol w:w="380"/>
        <w:gridCol w:w="60"/>
      </w:tblGrid>
      <w:tr>
        <w:trPr/>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0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Deposited Money and U.S. Government Obligations to Be Held in Trust; Other Miscellaneous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Repayment to Issuer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8.7.</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Reinstatement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8.8.</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Discharge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r>
      <w:tr>
        <w:trPr>
          <w:trHeight w:val="120" w:hRule="atLeast"/>
        </w:trPr>
        <w:tc>
          <w:tcPr>
            <w:tcW w:w="11425"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2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AMENDMENT, SUPPLEMENT AND WAIVER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90</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Without Consent of Holders of the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90</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With Consent of Holders of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92</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Revocation and Effect of Consents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Notation on or Exchange of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Trustee to Sign Amendments,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r>
      <w:tr>
        <w:trPr>
          <w:trHeight w:val="120" w:hRule="atLeast"/>
        </w:trPr>
        <w:tc>
          <w:tcPr>
            <w:tcW w:w="11425"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2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SUBSIDIARY GUARANTEES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Subsidiary Guarantees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Execution and Delivery of Guarantee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Severability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Limitation of Subsidiary Guarantors’ Liability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Release.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96</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Benefits Acknowledged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96</w:t>
            </w:r>
          </w:p>
        </w:tc>
        <w:tc>
          <w:tcPr>
            <w:tcW w:w="60" w:type="dxa"/>
            <w:tcBorders/>
            <w:vAlign w:val="bottom"/>
          </w:tcPr>
          <w:p>
            <w:pPr>
              <w:pStyle w:val="TableContents"/>
              <w:bidi w:val="0"/>
              <w:spacing w:before="0" w:after="283"/>
              <w:jc w:val="left"/>
              <w:rPr/>
            </w:pPr>
            <w:r>
              <w:rPr/>
              <w:t> </w:t>
            </w:r>
          </w:p>
        </w:tc>
      </w:tr>
      <w:tr>
        <w:trPr>
          <w:trHeight w:val="120" w:hRule="atLeast"/>
        </w:trPr>
        <w:tc>
          <w:tcPr>
            <w:tcW w:w="11425"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2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 MISCELLANEOUS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97</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Notices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97</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Certificate and Opinion as to Conditions Precedent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Statements Required in Certificate or Opinion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11.4.</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Rules by Trustee and Agents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11.5.</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No Personal Liability of Directors, Officers, Employees and Stockholders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11.6.</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Governing Law; Consent to Jurisdiction; Waiver of Jury Trial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11.7.</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No Adverse Interpretation of Other Agreements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11.8.</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Successors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11.9.</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Severability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11.10.</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Execution in Counterparts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11.11.</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Table of Contents, Headings,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11.12.</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Acts of 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11.13.</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Force Majeure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103</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11.14.</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Legal Holidays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103</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11.15.</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No Qualification Under the Trust Indenture Act.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103</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11.16.</w:t>
            </w:r>
          </w:p>
        </w:tc>
        <w:tc>
          <w:tcPr>
            <w:tcW w:w="6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USA PATRIOT Act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9"/>
        <w:gridCol w:w="322"/>
        <w:gridCol w:w="8914"/>
      </w:tblGrid>
      <w:tr>
        <w:trPr/>
        <w:tc>
          <w:tcPr>
            <w:tcW w:w="969"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8914" w:type="dxa"/>
            <w:tcBorders/>
            <w:vAlign w:val="center"/>
          </w:tcPr>
          <w:p>
            <w:pPr>
              <w:pStyle w:val="TableContents"/>
              <w:bidi w:val="0"/>
              <w:spacing w:before="0" w:after="283"/>
              <w:jc w:val="left"/>
              <w:rPr>
                <w:sz w:val="4"/>
                <w:szCs w:val="4"/>
              </w:rPr>
            </w:pPr>
            <w:r>
              <w:rPr>
                <w:sz w:val="4"/>
                <w:szCs w:val="4"/>
              </w:rPr>
            </w:r>
          </w:p>
        </w:tc>
      </w:tr>
      <w:tr>
        <w:trPr/>
        <w:tc>
          <w:tcPr>
            <w:tcW w:w="969" w:type="dxa"/>
            <w:tcBorders/>
            <w:vAlign w:val="bottom"/>
          </w:tcPr>
          <w:p>
            <w:pPr>
              <w:pStyle w:val="TableContents"/>
              <w:bidi w:val="0"/>
              <w:spacing w:before="0" w:after="283"/>
              <w:jc w:val="left"/>
              <w:rPr/>
            </w:pPr>
            <w:r>
              <w:rPr/>
              <w:t>Exhibit A</w:t>
            </w:r>
          </w:p>
        </w:tc>
        <w:tc>
          <w:tcPr>
            <w:tcW w:w="322" w:type="dxa"/>
            <w:tcBorders/>
            <w:vAlign w:val="bottom"/>
          </w:tcPr>
          <w:p>
            <w:pPr>
              <w:pStyle w:val="TableContents"/>
              <w:bidi w:val="0"/>
              <w:spacing w:before="0" w:after="283"/>
              <w:jc w:val="left"/>
              <w:rPr/>
            </w:pPr>
            <w:r>
              <w:rPr/>
              <w:t>  </w:t>
            </w:r>
          </w:p>
        </w:tc>
        <w:tc>
          <w:tcPr>
            <w:tcW w:w="8914" w:type="dxa"/>
            <w:tcBorders/>
            <w:vAlign w:val="bottom"/>
          </w:tcPr>
          <w:p>
            <w:pPr>
              <w:pStyle w:val="TableContents"/>
              <w:bidi w:val="0"/>
              <w:spacing w:before="0" w:after="283"/>
              <w:jc w:val="left"/>
              <w:rPr/>
            </w:pPr>
            <w:r>
              <w:rPr/>
              <w:t>Form of Note</w:t>
            </w:r>
          </w:p>
        </w:tc>
      </w:tr>
      <w:tr>
        <w:trPr>
          <w:trHeight w:val="120" w:hRule="atLeast"/>
        </w:trPr>
        <w:tc>
          <w:tcPr>
            <w:tcW w:w="969" w:type="dxa"/>
            <w:tcBorders/>
            <w:vAlign w:val="center"/>
          </w:tcPr>
          <w:p>
            <w:pPr>
              <w:pStyle w:val="TableContents"/>
              <w:bidi w:val="0"/>
              <w:spacing w:before="0" w:after="283"/>
              <w:jc w:val="left"/>
              <w:rPr>
                <w:sz w:val="4"/>
                <w:szCs w:val="4"/>
              </w:rPr>
            </w:pPr>
            <w:r>
              <w:rPr>
                <w:sz w:val="4"/>
                <w:szCs w:val="4"/>
              </w:rPr>
            </w:r>
          </w:p>
        </w:tc>
        <w:tc>
          <w:tcPr>
            <w:tcW w:w="9236" w:type="dxa"/>
            <w:gridSpan w:val="2"/>
            <w:tcBorders/>
            <w:vAlign w:val="center"/>
          </w:tcPr>
          <w:p>
            <w:pPr>
              <w:pStyle w:val="TableContents"/>
              <w:bidi w:val="0"/>
              <w:spacing w:before="0" w:after="283"/>
              <w:jc w:val="left"/>
              <w:rPr>
                <w:sz w:val="4"/>
                <w:szCs w:val="4"/>
              </w:rPr>
            </w:pPr>
            <w:r>
              <w:rPr>
                <w:sz w:val="4"/>
                <w:szCs w:val="4"/>
              </w:rPr>
            </w:r>
          </w:p>
        </w:tc>
      </w:tr>
      <w:tr>
        <w:trPr/>
        <w:tc>
          <w:tcPr>
            <w:tcW w:w="969" w:type="dxa"/>
            <w:tcBorders/>
          </w:tcPr>
          <w:p>
            <w:pPr>
              <w:pStyle w:val="TableContents"/>
              <w:bidi w:val="0"/>
              <w:spacing w:before="0" w:after="283"/>
              <w:jc w:val="left"/>
              <w:rPr/>
            </w:pPr>
            <w:r>
              <w:rPr/>
              <w:t>Exhibit B</w:t>
            </w:r>
          </w:p>
        </w:tc>
        <w:tc>
          <w:tcPr>
            <w:tcW w:w="322" w:type="dxa"/>
            <w:tcBorders/>
            <w:vAlign w:val="bottom"/>
          </w:tcPr>
          <w:p>
            <w:pPr>
              <w:pStyle w:val="TableContents"/>
              <w:bidi w:val="0"/>
              <w:spacing w:before="0" w:after="283"/>
              <w:jc w:val="left"/>
              <w:rPr/>
            </w:pPr>
            <w:r>
              <w:rPr/>
              <w:t>  </w:t>
            </w:r>
          </w:p>
        </w:tc>
        <w:tc>
          <w:tcPr>
            <w:tcW w:w="8914" w:type="dxa"/>
            <w:tcBorders/>
          </w:tcPr>
          <w:p>
            <w:pPr>
              <w:pStyle w:val="TableContents"/>
              <w:bidi w:val="0"/>
              <w:spacing w:before="0" w:after="283"/>
              <w:jc w:val="left"/>
              <w:rPr/>
            </w:pPr>
            <w:r>
              <w:rPr/>
              <w:t>Form of Supplemental Indenture to be Delivered by Subsequent Subsidiary Guarantors</w:t>
            </w:r>
          </w:p>
        </w:tc>
      </w:tr>
      <w:tr>
        <w:trPr>
          <w:trHeight w:val="120" w:hRule="atLeast"/>
        </w:trPr>
        <w:tc>
          <w:tcPr>
            <w:tcW w:w="969" w:type="dxa"/>
            <w:tcBorders/>
            <w:vAlign w:val="center"/>
          </w:tcPr>
          <w:p>
            <w:pPr>
              <w:pStyle w:val="TableContents"/>
              <w:bidi w:val="0"/>
              <w:spacing w:before="0" w:after="283"/>
              <w:jc w:val="left"/>
              <w:rPr>
                <w:sz w:val="4"/>
                <w:szCs w:val="4"/>
              </w:rPr>
            </w:pPr>
            <w:r>
              <w:rPr>
                <w:sz w:val="4"/>
                <w:szCs w:val="4"/>
              </w:rPr>
            </w:r>
          </w:p>
        </w:tc>
        <w:tc>
          <w:tcPr>
            <w:tcW w:w="9236" w:type="dxa"/>
            <w:gridSpan w:val="2"/>
            <w:tcBorders/>
            <w:vAlign w:val="center"/>
          </w:tcPr>
          <w:p>
            <w:pPr>
              <w:pStyle w:val="TableContents"/>
              <w:bidi w:val="0"/>
              <w:spacing w:before="0" w:after="283"/>
              <w:jc w:val="left"/>
              <w:rPr>
                <w:sz w:val="4"/>
                <w:szCs w:val="4"/>
              </w:rPr>
            </w:pPr>
            <w:r>
              <w:rPr>
                <w:sz w:val="4"/>
                <w:szCs w:val="4"/>
              </w:rPr>
            </w:r>
          </w:p>
        </w:tc>
      </w:tr>
      <w:tr>
        <w:trPr/>
        <w:tc>
          <w:tcPr>
            <w:tcW w:w="969" w:type="dxa"/>
            <w:tcBorders/>
          </w:tcPr>
          <w:p>
            <w:pPr>
              <w:pStyle w:val="TableContents"/>
              <w:bidi w:val="0"/>
              <w:spacing w:before="0" w:after="283"/>
              <w:jc w:val="left"/>
              <w:rPr/>
            </w:pPr>
            <w:r>
              <w:rPr/>
              <w:t>Exhibit C</w:t>
            </w:r>
          </w:p>
        </w:tc>
        <w:tc>
          <w:tcPr>
            <w:tcW w:w="322" w:type="dxa"/>
            <w:tcBorders/>
            <w:vAlign w:val="bottom"/>
          </w:tcPr>
          <w:p>
            <w:pPr>
              <w:pStyle w:val="TableContents"/>
              <w:bidi w:val="0"/>
              <w:spacing w:before="0" w:after="283"/>
              <w:jc w:val="left"/>
              <w:rPr/>
            </w:pPr>
            <w:r>
              <w:rPr/>
              <w:t>  </w:t>
            </w:r>
          </w:p>
        </w:tc>
        <w:tc>
          <w:tcPr>
            <w:tcW w:w="8914" w:type="dxa"/>
            <w:tcBorders/>
          </w:tcPr>
          <w:p>
            <w:pPr>
              <w:pStyle w:val="TableContents"/>
              <w:bidi w:val="0"/>
              <w:spacing w:before="0" w:after="283"/>
              <w:jc w:val="left"/>
              <w:rPr/>
            </w:pPr>
            <w:r>
              <w:rPr/>
              <w:t>Form of Certificate to be Delivered in Connection with Transfers Pursuant to Regulation S</w:t>
            </w:r>
          </w:p>
        </w:tc>
      </w:tr>
      <w:tr>
        <w:trPr>
          <w:trHeight w:val="120" w:hRule="atLeast"/>
        </w:trPr>
        <w:tc>
          <w:tcPr>
            <w:tcW w:w="969" w:type="dxa"/>
            <w:tcBorders/>
            <w:vAlign w:val="center"/>
          </w:tcPr>
          <w:p>
            <w:pPr>
              <w:pStyle w:val="TableContents"/>
              <w:bidi w:val="0"/>
              <w:spacing w:before="0" w:after="283"/>
              <w:jc w:val="left"/>
              <w:rPr>
                <w:sz w:val="4"/>
                <w:szCs w:val="4"/>
              </w:rPr>
            </w:pPr>
            <w:r>
              <w:rPr>
                <w:sz w:val="4"/>
                <w:szCs w:val="4"/>
              </w:rPr>
            </w:r>
          </w:p>
        </w:tc>
        <w:tc>
          <w:tcPr>
            <w:tcW w:w="9236" w:type="dxa"/>
            <w:gridSpan w:val="2"/>
            <w:tcBorders/>
            <w:vAlign w:val="center"/>
          </w:tcPr>
          <w:p>
            <w:pPr>
              <w:pStyle w:val="TableContents"/>
              <w:bidi w:val="0"/>
              <w:spacing w:before="0" w:after="283"/>
              <w:jc w:val="left"/>
              <w:rPr>
                <w:sz w:val="4"/>
                <w:szCs w:val="4"/>
              </w:rPr>
            </w:pPr>
            <w:r>
              <w:rPr>
                <w:sz w:val="4"/>
                <w:szCs w:val="4"/>
              </w:rPr>
            </w:r>
          </w:p>
        </w:tc>
      </w:tr>
      <w:tr>
        <w:trPr/>
        <w:tc>
          <w:tcPr>
            <w:tcW w:w="969" w:type="dxa"/>
            <w:tcBorders/>
          </w:tcPr>
          <w:p>
            <w:pPr>
              <w:pStyle w:val="TableContents"/>
              <w:bidi w:val="0"/>
              <w:spacing w:before="0" w:after="283"/>
              <w:jc w:val="left"/>
              <w:rPr/>
            </w:pPr>
            <w:r>
              <w:rPr/>
              <w:t>Exhibit D</w:t>
            </w:r>
          </w:p>
        </w:tc>
        <w:tc>
          <w:tcPr>
            <w:tcW w:w="322" w:type="dxa"/>
            <w:tcBorders/>
            <w:vAlign w:val="bottom"/>
          </w:tcPr>
          <w:p>
            <w:pPr>
              <w:pStyle w:val="TableContents"/>
              <w:bidi w:val="0"/>
              <w:spacing w:before="0" w:after="283"/>
              <w:jc w:val="left"/>
              <w:rPr/>
            </w:pPr>
            <w:r>
              <w:rPr/>
              <w:t>  </w:t>
            </w:r>
          </w:p>
        </w:tc>
        <w:tc>
          <w:tcPr>
            <w:tcW w:w="8914" w:type="dxa"/>
            <w:tcBorders/>
          </w:tcPr>
          <w:p>
            <w:pPr>
              <w:pStyle w:val="TableContents"/>
              <w:bidi w:val="0"/>
              <w:spacing w:before="0" w:after="283"/>
              <w:jc w:val="left"/>
              <w:rPr/>
            </w:pPr>
            <w:r>
              <w:rPr/>
              <w:t>Form of Certificate to be Delivered in Connection with Transfers to IAIs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Indenture, dated as of August 19, 2026, is by and between Newell Brands Inc., a Delaware corporation (collectively with successors and assigns, the “</w:t>
      </w:r>
      <w:r>
        <w:rPr>
          <w:rFonts w:ascii="Times New Roman" w:hAnsi="Times New Roman"/>
          <w:i/>
          <w:sz w:val="20"/>
        </w:rPr>
        <w:t>Issuer</w:t>
      </w:r>
      <w:r>
        <w:rPr>
          <w:rFonts w:ascii="Times New Roman" w:hAnsi="Times New Roman"/>
          <w:sz w:val="20"/>
        </w:rPr>
        <w:t>”), and U.S. Bank Trust Company, National Association, as trustee (the “</w:t>
      </w:r>
      <w:r>
        <w:rPr>
          <w:rFonts w:ascii="Times New Roman" w:hAnsi="Times New Roman"/>
          <w:i/>
          <w:sz w:val="20"/>
        </w:rPr>
        <w:t>Trustee</w:t>
      </w:r>
      <w:r>
        <w:rPr>
          <w:rFonts w:ascii="Times New Roman" w:hAnsi="Times New Roman"/>
          <w:sz w:val="20"/>
        </w:rPr>
        <w:t xml:space="preserve">”), paying agent and registrar. </w:t>
      </w:r>
    </w:p>
    <w:p>
      <w:pPr>
        <w:pStyle w:val="TextBody"/>
        <w:bidi w:val="0"/>
        <w:spacing w:before="240" w:after="0"/>
        <w:jc w:val="left"/>
        <w:rPr>
          <w:rFonts w:ascii="Times New Roman" w:hAnsi="Times New Roman"/>
          <w:sz w:val="20"/>
        </w:rPr>
      </w:pPr>
      <w:r>
        <w:rPr>
          <w:rFonts w:ascii="Times New Roman" w:hAnsi="Times New Roman"/>
          <w:sz w:val="20"/>
        </w:rPr>
        <w:t>The Issuer and the Trustee agree as follows for the benefit of each other and for the equal and ratable benefit of the Holders (as defined herein) of (i) the Issuer’s 6.250% Senior Notes due 2031 to be issued in an initial aggregate principal amount of $600,000,000 on the date hereof (the “</w:t>
      </w:r>
      <w:r>
        <w:rPr>
          <w:rFonts w:ascii="Times New Roman" w:hAnsi="Times New Roman"/>
          <w:i/>
          <w:sz w:val="20"/>
        </w:rPr>
        <w:t>Initial Notes</w:t>
      </w:r>
      <w:r>
        <w:rPr>
          <w:rFonts w:ascii="Times New Roman" w:hAnsi="Times New Roman"/>
          <w:sz w:val="20"/>
        </w:rPr>
        <w:t xml:space="preserve">”) and (ii) Additional Notes (as defined herein):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rPr>
      </w:pPr>
      <w:r>
        <w:rPr>
          <w:rFonts w:ascii="Times New Roman" w:hAnsi="Times New Roman"/>
          <w:sz w:val="20"/>
        </w:rPr>
        <w:t xml:space="preserve">DEFINITIONS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2014 Existing Indenture</w:t>
      </w:r>
      <w:r>
        <w:rPr>
          <w:rFonts w:ascii="Times New Roman" w:hAnsi="Times New Roman"/>
          <w:sz w:val="20"/>
        </w:rPr>
        <w:t xml:space="preserve">” means that certain indenture, dated as of November 19, 2014, by and between the Issuer (formerly known as Newell Rubbermaid Inc.) and the Trustee (formerly known as U.S. Bank National Association), as trustee, as supplemented by the First Supplemental Indenture, dated as of November 13, 2024, and the Second Supplemental Indenture, dated as of November 13, 2024, and as further amended or supplemented from time to time, relating to the Issuer’s 2014 Existing Indenture Notes. </w:t>
      </w:r>
    </w:p>
    <w:p>
      <w:pPr>
        <w:pStyle w:val="TextBody"/>
        <w:bidi w:val="0"/>
        <w:spacing w:before="240" w:after="0"/>
        <w:jc w:val="left"/>
        <w:rPr/>
      </w:pPr>
      <w:r>
        <w:rPr/>
        <w:t>“</w:t>
      </w:r>
      <w:r>
        <w:rPr>
          <w:rFonts w:ascii="Times New Roman" w:hAnsi="Times New Roman"/>
          <w:i/>
          <w:sz w:val="20"/>
        </w:rPr>
        <w:t>2014 Existing Indenture Notes</w:t>
      </w:r>
      <w:r>
        <w:rPr>
          <w:rFonts w:ascii="Times New Roman" w:hAnsi="Times New Roman"/>
          <w:sz w:val="20"/>
        </w:rPr>
        <w:t xml:space="preserve">” means, collectively, the Issuer’s 6.375% Senior Notes due 2027; the Issuer’s 6.625% Senior Notes due 2029; the Issuer’s 6.375% Senior Notes due 2030; the Issuer’s 6.625% Senior Notes due 2032; the Issuer’s 5.375% Senior Notes due 2036; and the Issuer’s 5.500% Senior Notes due 2046, in each case, issued pursuant to the 2014 Existing Indenture. </w:t>
      </w:r>
    </w:p>
    <w:p>
      <w:pPr>
        <w:pStyle w:val="TextBody"/>
        <w:bidi w:val="0"/>
        <w:spacing w:before="240" w:after="0"/>
        <w:jc w:val="left"/>
        <w:rPr/>
      </w:pPr>
      <w:r>
        <w:rPr/>
        <w:t>“</w:t>
      </w:r>
      <w:r>
        <w:rPr>
          <w:rFonts w:ascii="Times New Roman" w:hAnsi="Times New Roman"/>
          <w:i/>
          <w:sz w:val="20"/>
        </w:rPr>
        <w:t>2025 Existing Indenture</w:t>
      </w:r>
      <w:r>
        <w:rPr>
          <w:rFonts w:ascii="Times New Roman" w:hAnsi="Times New Roman"/>
          <w:sz w:val="20"/>
        </w:rPr>
        <w:t xml:space="preserve">” means that certain indenture, dated May 22, 2025, by and between the Issuer and the Trustee, as trustee, as amended or supplemented from time to time, relating to the Issuer’s 8.500% Senior Notes due 2028. </w:t>
      </w:r>
    </w:p>
    <w:p>
      <w:pPr>
        <w:pStyle w:val="TextBody"/>
        <w:bidi w:val="0"/>
        <w:spacing w:before="240" w:after="0"/>
        <w:jc w:val="left"/>
        <w:rPr/>
      </w:pPr>
      <w:r>
        <w:rPr/>
        <w:t>“</w:t>
      </w:r>
      <w:r>
        <w:rPr>
          <w:rFonts w:ascii="Times New Roman" w:hAnsi="Times New Roman"/>
          <w:i/>
          <w:sz w:val="20"/>
        </w:rPr>
        <w:t>Additional Notes</w:t>
      </w:r>
      <w:r>
        <w:rPr>
          <w:rFonts w:ascii="Times New Roman" w:hAnsi="Times New Roman"/>
          <w:sz w:val="20"/>
        </w:rPr>
        <w:t xml:space="preserve">” means additional Notes (other than the Initial Notes) issued from time to time under this Indenture in accordance with Article II.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of any Person means any other Person directly or indirectly controlling or controlled by or under direct or indirect common control with such Person. For the purposes of this definition, “</w:t>
      </w:r>
      <w:r>
        <w:rPr>
          <w:rFonts w:ascii="Times New Roman" w:hAnsi="Times New Roman"/>
          <w:i/>
          <w:sz w:val="20"/>
        </w:rPr>
        <w:t>control</w:t>
      </w:r>
      <w:r>
        <w:rPr>
          <w:rFonts w:ascii="Times New Roman" w:hAnsi="Times New Roman"/>
          <w:sz w:val="20"/>
        </w:rPr>
        <w:t>” when used with respect to any Person means the power to direct the management and policies of such Person, directly or indirectly, whether through the ownership of voting securities, by contract or otherwise; and the terms “</w:t>
      </w:r>
      <w:r>
        <w:rPr>
          <w:rFonts w:ascii="Times New Roman" w:hAnsi="Times New Roman"/>
          <w:i/>
          <w:sz w:val="20"/>
        </w:rPr>
        <w:t>controlling</w:t>
      </w:r>
      <w:r>
        <w:rPr>
          <w:rFonts w:ascii="Times New Roman" w:hAnsi="Times New Roman"/>
          <w:sz w:val="20"/>
        </w:rPr>
        <w:t>” and “</w:t>
      </w:r>
      <w:r>
        <w:rPr>
          <w:rFonts w:ascii="Times New Roman" w:hAnsi="Times New Roman"/>
          <w:i/>
          <w:sz w:val="20"/>
        </w:rPr>
        <w:t>controlled</w:t>
      </w:r>
      <w:r>
        <w:rPr>
          <w:rFonts w:ascii="Times New Roman" w:hAnsi="Times New Roman"/>
          <w:sz w:val="20"/>
        </w:rPr>
        <w:t xml:space="preserve">” have meanings correlative to the foregoing. </w:t>
      </w:r>
    </w:p>
    <w:p>
      <w:pPr>
        <w:pStyle w:val="TextBody"/>
        <w:bidi w:val="0"/>
        <w:spacing w:before="240" w:after="0"/>
        <w:jc w:val="left"/>
        <w:rPr/>
      </w:pPr>
      <w:r>
        <w:rPr/>
        <w:t>“</w:t>
      </w:r>
      <w:r>
        <w:rPr>
          <w:rFonts w:ascii="Times New Roman" w:hAnsi="Times New Roman"/>
          <w:i/>
          <w:sz w:val="20"/>
        </w:rPr>
        <w:t>Agent</w:t>
      </w:r>
      <w:r>
        <w:rPr>
          <w:rFonts w:ascii="Times New Roman" w:hAnsi="Times New Roman"/>
          <w:sz w:val="20"/>
        </w:rPr>
        <w:t xml:space="preserve">” means any Registrar, Paying Agent, co-registrar or other agent appointed pursuant to this Indenture. </w:t>
      </w:r>
    </w:p>
    <w:p>
      <w:pPr>
        <w:pStyle w:val="TextBody"/>
        <w:bidi w:val="0"/>
        <w:spacing w:before="240" w:after="0"/>
        <w:jc w:val="left"/>
        <w:rPr/>
      </w:pPr>
      <w:r>
        <w:rPr/>
        <w:t>“</w:t>
      </w:r>
      <w:r>
        <w:rPr>
          <w:rFonts w:ascii="Times New Roman" w:hAnsi="Times New Roman"/>
          <w:i/>
          <w:sz w:val="20"/>
        </w:rPr>
        <w:t>amend</w:t>
      </w:r>
      <w:r>
        <w:rPr>
          <w:rFonts w:ascii="Times New Roman" w:hAnsi="Times New Roman"/>
          <w:sz w:val="20"/>
        </w:rPr>
        <w:t>” means to amend, supplement, restate, amend and restate or otherwise modify, including successively, and “</w:t>
      </w:r>
      <w:r>
        <w:rPr>
          <w:rFonts w:ascii="Times New Roman" w:hAnsi="Times New Roman"/>
          <w:i/>
          <w:sz w:val="20"/>
        </w:rPr>
        <w:t>amendment</w:t>
      </w:r>
      <w:r>
        <w:rPr>
          <w:rFonts w:ascii="Times New Roman" w:hAnsi="Times New Roman"/>
          <w:sz w:val="20"/>
        </w:rPr>
        <w:t xml:space="preserve">” shall have a correlative meaning.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Approved Bank</w:t>
      </w:r>
      <w:r>
        <w:rPr>
          <w:rFonts w:ascii="Times New Roman" w:hAnsi="Times New Roman"/>
          <w:sz w:val="20"/>
        </w:rPr>
        <w:t xml:space="preserve">” has the meaning specified in clause (3) of the definition of “Cash Equivalents.” </w:t>
      </w:r>
    </w:p>
    <w:p>
      <w:pPr>
        <w:pStyle w:val="TextBody"/>
        <w:bidi w:val="0"/>
        <w:spacing w:before="240" w:after="0"/>
        <w:jc w:val="left"/>
        <w:rPr/>
      </w:pPr>
      <w:r>
        <w:rPr/>
        <w:t>“</w:t>
      </w:r>
      <w:r>
        <w:rPr>
          <w:rFonts w:ascii="Times New Roman" w:hAnsi="Times New Roman"/>
          <w:i/>
          <w:sz w:val="20"/>
        </w:rPr>
        <w:t>Asset Disposition</w:t>
      </w:r>
      <w:r>
        <w:rPr>
          <w:rFonts w:ascii="Times New Roman" w:hAnsi="Times New Roman"/>
          <w:sz w:val="20"/>
        </w:rPr>
        <w:t xml:space="preserve">” by any Person means any transfer, conveyance, sale, lease or other disposition (but excluding the creation of any Lien permitted under Section 4.12 or any disposition in connection therewith) by such Person or any of its Restricted Subsidiaries (including a consolidation or merger or other sale of any such Restricted Subsidiary with, into or to another Person in a transaction in which such Restricted Subsidiary ceases to be a Restricted Subsidiary, but excluding a disposition by a Restricted Subsidiary of such Person to such Person or a Restricted Subsidiary of such Person or by such Person to a Restricted Subsidiary of such Person) of: </w:t>
      </w:r>
    </w:p>
    <w:p>
      <w:pPr>
        <w:pStyle w:val="TextBody"/>
        <w:bidi w:val="0"/>
        <w:spacing w:before="120" w:after="0"/>
        <w:jc w:val="left"/>
        <w:rPr>
          <w:rFonts w:ascii="Times New Roman" w:hAnsi="Times New Roman"/>
          <w:sz w:val="20"/>
        </w:rPr>
      </w:pPr>
      <w:r>
        <w:rPr>
          <w:rFonts w:ascii="Times New Roman" w:hAnsi="Times New Roman"/>
          <w:sz w:val="20"/>
        </w:rPr>
        <w:t xml:space="preserve">(1) shares of Capital Stock (other than directors’ qualifying shares) or other ownership interests of a Restricted Subsidiary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(2) substantially all of the assets of such Person or any of its Restricted Subsidiaries representing a division or line of business; or </w:t>
      </w:r>
    </w:p>
    <w:p>
      <w:pPr>
        <w:pStyle w:val="TextBody"/>
        <w:bidi w:val="0"/>
        <w:spacing w:before="120" w:after="0"/>
        <w:jc w:val="left"/>
        <w:rPr>
          <w:rFonts w:ascii="Times New Roman" w:hAnsi="Times New Roman"/>
          <w:sz w:val="20"/>
        </w:rPr>
      </w:pPr>
      <w:r>
        <w:rPr>
          <w:rFonts w:ascii="Times New Roman" w:hAnsi="Times New Roman"/>
          <w:sz w:val="20"/>
        </w:rPr>
        <w:t xml:space="preserve">(3) other assets or rights of such Person or any of its Restricted Subsidiaries outside of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The term “Asset Disposition” shall not include any transfer, conveyance, sale, lease or other disposition: </w:t>
      </w:r>
    </w:p>
    <w:p>
      <w:pPr>
        <w:pStyle w:val="TextBody"/>
        <w:bidi w:val="0"/>
        <w:spacing w:before="120" w:after="0"/>
        <w:jc w:val="left"/>
        <w:rPr>
          <w:rFonts w:ascii="Times New Roman" w:hAnsi="Times New Roman"/>
          <w:sz w:val="20"/>
        </w:rPr>
      </w:pPr>
      <w:r>
        <w:rPr>
          <w:rFonts w:ascii="Times New Roman" w:hAnsi="Times New Roman"/>
          <w:sz w:val="20"/>
        </w:rPr>
        <w:t xml:space="preserve">(a) that consists of a Restricted Payment or Permitted Investment that is made in compliance with Section 4.7; </w:t>
      </w:r>
    </w:p>
    <w:p>
      <w:pPr>
        <w:pStyle w:val="TextBody"/>
        <w:bidi w:val="0"/>
        <w:spacing w:before="120" w:after="0"/>
        <w:jc w:val="left"/>
        <w:rPr>
          <w:rFonts w:ascii="Times New Roman" w:hAnsi="Times New Roman"/>
          <w:sz w:val="20"/>
        </w:rPr>
      </w:pPr>
      <w:r>
        <w:rPr>
          <w:rFonts w:ascii="Times New Roman" w:hAnsi="Times New Roman"/>
          <w:sz w:val="20"/>
        </w:rPr>
        <w:t xml:space="preserve">(b) that constitutes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(c) that is of cash or Cash Equivalents, Investment Grade Securities or a disposition or termination or surrender of contract rights, including settlement of any hedging obligations, or licensing or sublicensing of intellectual property or general intangibles; </w:t>
      </w:r>
    </w:p>
    <w:p>
      <w:pPr>
        <w:pStyle w:val="TextBody"/>
        <w:bidi w:val="0"/>
        <w:spacing w:before="120" w:after="0"/>
        <w:jc w:val="left"/>
        <w:rPr>
          <w:rFonts w:ascii="Times New Roman" w:hAnsi="Times New Roman"/>
          <w:sz w:val="20"/>
        </w:rPr>
      </w:pPr>
      <w:r>
        <w:rPr>
          <w:rFonts w:ascii="Times New Roman" w:hAnsi="Times New Roman"/>
          <w:sz w:val="20"/>
        </w:rPr>
        <w:t xml:space="preserve">(d) that consists of inventory, goods or other assets in the ordinary course of business or consistent with past practice or held for sale or no longer used in the ordinary course of business (including excess or obsolete inventory), including the grant of franchise and related rights and any disposition of disposed, abandoned or discontinued operations; </w:t>
      </w:r>
    </w:p>
    <w:p>
      <w:pPr>
        <w:pStyle w:val="TextBody"/>
        <w:bidi w:val="0"/>
        <w:spacing w:before="120" w:after="0"/>
        <w:jc w:val="left"/>
        <w:rPr>
          <w:rFonts w:ascii="Times New Roman" w:hAnsi="Times New Roman"/>
          <w:sz w:val="20"/>
        </w:rPr>
      </w:pPr>
      <w:r>
        <w:rPr>
          <w:rFonts w:ascii="Times New Roman" w:hAnsi="Times New Roman"/>
          <w:sz w:val="20"/>
        </w:rPr>
        <w:t xml:space="preserve">(e) that consists of defaulted receivables for collection or any sale, transfer or other disposition of defaulted receivables for collection; </w:t>
      </w:r>
    </w:p>
    <w:p>
      <w:pPr>
        <w:pStyle w:val="TextBody"/>
        <w:bidi w:val="0"/>
        <w:spacing w:before="120" w:after="0"/>
        <w:jc w:val="left"/>
        <w:rPr>
          <w:rFonts w:ascii="Times New Roman" w:hAnsi="Times New Roman"/>
          <w:sz w:val="20"/>
        </w:rPr>
      </w:pPr>
      <w:r>
        <w:rPr>
          <w:rFonts w:ascii="Times New Roman" w:hAnsi="Times New Roman"/>
          <w:sz w:val="20"/>
        </w:rPr>
        <w:t xml:space="preserve">(f) arising from casualty events, foreclosures, condemnation or any similar action on assets or the granting of Liens not prohibited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(g) that is of Capital Stock in, or Debt or other securities of, an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(h) in compliance with Section 5.1;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arising from any financing transaction with respect to property built or acquired by the Issuer or any Restricted Subsidiary after the Issue Date, including, without limitation, any sale and leaseback transaction or asset securitization; </w:t>
      </w:r>
    </w:p>
    <w:p>
      <w:pPr>
        <w:pStyle w:val="TextBody"/>
        <w:bidi w:val="0"/>
        <w:spacing w:before="120" w:after="0"/>
        <w:jc w:val="left"/>
        <w:rPr>
          <w:rFonts w:ascii="Times New Roman" w:hAnsi="Times New Roman"/>
          <w:sz w:val="20"/>
        </w:rPr>
      </w:pPr>
      <w:r>
        <w:rPr>
          <w:rFonts w:ascii="Times New Roman" w:hAnsi="Times New Roman"/>
          <w:sz w:val="20"/>
        </w:rPr>
        <w:t xml:space="preserve">(j) that consists of leases, subleases, licenses or sublicenses, in each case which do not materially interfere with the business of the Issuer and the Restricted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(k) that is of Investments in joint ventures to the extent required by, or made pursuant to customary buy/sell arrangements between, the joint venture parties set forth in joint venture arrangements and similar binding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(l) to the extent allowable under Section 1031 of the Code (or comparable or successor provision), any exchange of like property (excluding any boot thereon permitted by such provision) for use in any business conducted by the Issuer and the Restricted Subsidiaries and that does not materially change the nature of the business conducted by the Issuer and the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(m) any transaction or series of related transactions for which the aggregate consideration is less than the greater of (x) $75.0 million and (y) 0.5% of Consolidated Total Assets; or </w:t>
      </w:r>
    </w:p>
    <w:p>
      <w:pPr>
        <w:pStyle w:val="TextBody"/>
        <w:bidi w:val="0"/>
        <w:spacing w:before="120" w:after="0"/>
        <w:jc w:val="left"/>
        <w:rPr>
          <w:rFonts w:ascii="Times New Roman" w:hAnsi="Times New Roman"/>
          <w:sz w:val="20"/>
        </w:rPr>
      </w:pPr>
      <w:r>
        <w:rPr>
          <w:rFonts w:ascii="Times New Roman" w:hAnsi="Times New Roman"/>
          <w:sz w:val="20"/>
        </w:rPr>
        <w:t xml:space="preserve">(n) that consists of accounts receivable or any related asset disposed of pursuant to a Permitted Securitization. </w:t>
      </w:r>
    </w:p>
    <w:p>
      <w:pPr>
        <w:pStyle w:val="TextBody"/>
        <w:bidi w:val="0"/>
        <w:spacing w:before="240" w:after="0"/>
        <w:jc w:val="left"/>
        <w:rPr/>
      </w:pPr>
      <w:r>
        <w:rPr/>
        <w:t>“</w:t>
      </w:r>
      <w:r>
        <w:rPr>
          <w:rFonts w:ascii="Times New Roman" w:hAnsi="Times New Roman"/>
          <w:i/>
          <w:sz w:val="20"/>
        </w:rPr>
        <w:t>Average Life</w:t>
      </w:r>
      <w:r>
        <w:rPr>
          <w:rFonts w:ascii="Times New Roman" w:hAnsi="Times New Roman"/>
          <w:sz w:val="20"/>
        </w:rPr>
        <w:t xml:space="preserve">” means, as of any date of determination, with respect to any Debt, the quotient obtained by dividing (1) the sum of the products of the number of years from such date of determination to the dates of each successive scheduled principal payments of such Debt by the amount of each such principal payment by (2) the sum of all such principal payments. </w:t>
      </w:r>
    </w:p>
    <w:p>
      <w:pPr>
        <w:pStyle w:val="TextBody"/>
        <w:bidi w:val="0"/>
        <w:spacing w:before="240" w:after="0"/>
        <w:jc w:val="left"/>
        <w:rPr/>
      </w:pPr>
      <w:r>
        <w:rPr/>
        <w:t>“</w:t>
      </w:r>
      <w:r>
        <w:rPr>
          <w:rFonts w:ascii="Times New Roman" w:hAnsi="Times New Roman"/>
          <w:i/>
          <w:sz w:val="20"/>
        </w:rPr>
        <w:t>Bankruptcy Law</w:t>
      </w:r>
      <w:r>
        <w:rPr>
          <w:rFonts w:ascii="Times New Roman" w:hAnsi="Times New Roman"/>
          <w:sz w:val="20"/>
        </w:rPr>
        <w:t xml:space="preserve">” means Title 11, U.S. Code or any similar federal, state or foreign law for the relief of debtors, and all other liquidation, conservatorship, bankruptcy, assignment for the benefit of creditors, moratorium, rearrangement, receivership, insolvency, reorganization, winding-up, restructuring, examinership or similar debtor relief laws. </w:t>
      </w:r>
    </w:p>
    <w:p>
      <w:pPr>
        <w:pStyle w:val="TextBody"/>
        <w:bidi w:val="0"/>
        <w:spacing w:before="240" w:after="0"/>
        <w:jc w:val="left"/>
        <w:rPr/>
      </w:pPr>
      <w:r>
        <w:rPr/>
        <w:t>“</w:t>
      </w:r>
      <w:r>
        <w:rPr>
          <w:rFonts w:ascii="Times New Roman" w:hAnsi="Times New Roman"/>
          <w:i/>
          <w:sz w:val="20"/>
        </w:rPr>
        <w:t>Beneficial Owner</w:t>
      </w:r>
      <w:r>
        <w:rPr>
          <w:rFonts w:ascii="Times New Roman" w:hAnsi="Times New Roman"/>
          <w:sz w:val="20"/>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upon the occurrence of a subsequent condition. The terms “</w:t>
      </w:r>
      <w:r>
        <w:rPr>
          <w:rFonts w:ascii="Times New Roman" w:hAnsi="Times New Roman"/>
          <w:i/>
          <w:sz w:val="20"/>
        </w:rPr>
        <w:t>Beneficially Owns</w:t>
      </w:r>
      <w:r>
        <w:rPr>
          <w:rFonts w:ascii="Times New Roman" w:hAnsi="Times New Roman"/>
          <w:sz w:val="20"/>
        </w:rPr>
        <w:t>” and “</w:t>
      </w:r>
      <w:r>
        <w:rPr>
          <w:rFonts w:ascii="Times New Roman" w:hAnsi="Times New Roman"/>
          <w:i/>
          <w:sz w:val="20"/>
        </w:rPr>
        <w:t>Beneficially Owned</w:t>
      </w:r>
      <w:r>
        <w:rPr>
          <w:rFonts w:ascii="Times New Roman" w:hAnsi="Times New Roman"/>
          <w:sz w:val="20"/>
        </w:rPr>
        <w:t xml:space="preserve">” shall have a corresponding meaning.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means, as to any Person, the Board of Directors, or similar governing body, of such Person or any duly authorized committee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Business Day</w:t>
      </w:r>
      <w:r>
        <w:rPr>
          <w:rFonts w:ascii="Times New Roman" w:hAnsi="Times New Roman"/>
          <w:sz w:val="20"/>
        </w:rPr>
        <w:t xml:space="preserve">” with respect to any place of payment or any other particular location referred to in this Indenture or the Notes, means each Monday, Tuesday, Wednesday, Thursday and Friday which is not a day on which banking institutions in that place of payment or particular location are authorized or obligated by law or executive order to close. </w:t>
      </w:r>
    </w:p>
    <w:p>
      <w:pPr>
        <w:pStyle w:val="TextBody"/>
        <w:bidi w:val="0"/>
        <w:spacing w:before="240" w:after="0"/>
        <w:jc w:val="left"/>
        <w:rPr/>
      </w:pPr>
      <w:r>
        <w:rPr/>
        <w:t>“</w:t>
      </w:r>
      <w:r>
        <w:rPr>
          <w:rFonts w:ascii="Times New Roman" w:hAnsi="Times New Roman"/>
          <w:i/>
          <w:sz w:val="20"/>
        </w:rPr>
        <w:t>Capital Markets Debt</w:t>
      </w:r>
      <w:r>
        <w:rPr>
          <w:rFonts w:ascii="Times New Roman" w:hAnsi="Times New Roman"/>
          <w:sz w:val="20"/>
        </w:rPr>
        <w:t xml:space="preserve">” means any Debt Facility consisting of bonds, debentures, notes or other similar debt securities issued in (1) a public offering registered under the Securities Act, (2) a private placement to institutional investors that is resold in accordance with Rule 144A or Regulation S of the Securities Act and/or (3) a placement to institutional investors pursuant to Section 4(a)(2) of the Securities Act, Regulation D thereunder or another applicable exemption from registration under the Securities Act. </w:t>
      </w:r>
    </w:p>
    <w:p>
      <w:pPr>
        <w:pStyle w:val="TextBody"/>
        <w:bidi w:val="0"/>
        <w:spacing w:before="240" w:after="0"/>
        <w:jc w:val="left"/>
        <w:rPr/>
      </w:pPr>
      <w:r>
        <w:rPr/>
        <w:t>“</w:t>
      </w:r>
      <w:r>
        <w:rPr>
          <w:rFonts w:ascii="Times New Roman" w:hAnsi="Times New Roman"/>
          <w:i/>
          <w:sz w:val="20"/>
        </w:rPr>
        <w:t>Capital Stock</w:t>
      </w:r>
      <w:r>
        <w:rPr>
          <w:rFonts w:ascii="Times New Roman" w:hAnsi="Times New Roman"/>
          <w:sz w:val="20"/>
        </w:rPr>
        <w:t xml:space="preserve">” of any Person means any and all shares, interests, participations, warrants, options or other rights to acquire or other equivalents of or interests in (however designated) corporate stock or other equity participations, including partnership interests, whether general or limited, of such Person, but in each case excluding any debt security that is convertible or exchangeable for Capital Stock. </w:t>
      </w:r>
    </w:p>
    <w:p>
      <w:pPr>
        <w:pStyle w:val="TextBody"/>
        <w:bidi w:val="0"/>
        <w:spacing w:before="240" w:after="0"/>
        <w:jc w:val="left"/>
        <w:rPr/>
      </w:pPr>
      <w:r>
        <w:rPr/>
        <w:t>“</w:t>
      </w:r>
      <w:r>
        <w:rPr>
          <w:rFonts w:ascii="Times New Roman" w:hAnsi="Times New Roman"/>
          <w:i/>
          <w:sz w:val="20"/>
        </w:rPr>
        <w:t>Cash Contribution Amount</w:t>
      </w:r>
      <w:r>
        <w:rPr>
          <w:rFonts w:ascii="Times New Roman" w:hAnsi="Times New Roman"/>
          <w:sz w:val="20"/>
        </w:rPr>
        <w:t xml:space="preserve">” means the aggregate amount of cash contributions made to the capital of the Issuer and designated as a “Cash Contribution Amount” as described in the definition of “Contribution Indebtedness.” </w:t>
      </w:r>
    </w:p>
    <w:p>
      <w:pPr>
        <w:pStyle w:val="TextBody"/>
        <w:bidi w:val="0"/>
        <w:spacing w:before="240" w:after="0"/>
        <w:jc w:val="left"/>
        <w:rPr/>
      </w:pPr>
      <w:r>
        <w:rPr/>
        <w:t>“</w:t>
      </w:r>
      <w:r>
        <w:rPr>
          <w:rFonts w:ascii="Times New Roman" w:hAnsi="Times New Roman"/>
          <w:i/>
          <w:sz w:val="20"/>
        </w:rPr>
        <w:t>Cash Equivalents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Dollars, Euros, British Pounds Sterling or any other currencies received in the ordinary course of business and, in the case of Foreign Subsidiaries, the local currency where such Foreign Subsidiary is operating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(2) readily marketable obligations issued or directly and fully guaranteed or insured by the government or any agency or instrumentality of the United States, having average maturities of not more than 24 months from the date of acquisition thereof;</w:t>
      </w:r>
      <w:r>
        <w:rPr>
          <w:rFonts w:ascii="Times New Roman" w:hAnsi="Times New Roman"/>
          <w:sz w:val="20"/>
          <w:u w:val="single"/>
        </w:rPr>
        <w:t> provided</w:t>
      </w:r>
      <w:r>
        <w:rPr>
          <w:rFonts w:ascii="Times New Roman" w:hAnsi="Times New Roman"/>
          <w:sz w:val="20"/>
        </w:rPr>
        <w:t xml:space="preserve"> that the full faith and credit of the United States is pledged in support thereof; </w:t>
      </w:r>
    </w:p>
    <w:p>
      <w:pPr>
        <w:pStyle w:val="TextBody"/>
        <w:bidi w:val="0"/>
        <w:spacing w:before="120" w:after="0"/>
        <w:jc w:val="left"/>
        <w:rPr>
          <w:rFonts w:ascii="Times New Roman" w:hAnsi="Times New Roman"/>
          <w:sz w:val="20"/>
        </w:rPr>
      </w:pPr>
      <w:r>
        <w:rPr>
          <w:rFonts w:ascii="Times New Roman" w:hAnsi="Times New Roman"/>
          <w:sz w:val="20"/>
        </w:rPr>
        <w:t>(3) time deposits with, or insured certificates of deposit or bankers’ acceptances of, any commercial bank that (a) is organized under the laws of the United States, any state thereof, the District of Columbia or any member nation of the Organization for Economic Cooperation and Development or is the principal banking Subsidiary of a bank holding company organized under the laws of the United States, any state thereof, the District of Columbia or any member nation of the Organization for Economic Cooperation and Development, and is a member of the Federal Reserve System, and (b) has combined capital and surplus of at least $250,000,000 (any such bank in the foregoing clauses (a) and (b) being an “</w:t>
      </w:r>
      <w:r>
        <w:rPr>
          <w:rFonts w:ascii="Times New Roman" w:hAnsi="Times New Roman"/>
          <w:i/>
          <w:sz w:val="20"/>
        </w:rPr>
        <w:t>Approved Bank</w:t>
      </w:r>
      <w:r>
        <w:rPr>
          <w:rFonts w:ascii="Times New Roman" w:hAnsi="Times New Roman"/>
          <w:sz w:val="20"/>
        </w:rPr>
        <w:t xml:space="preserve">”), in each case with average maturities of not more than 12 months from the date of acquisition thereof; </w:t>
      </w:r>
    </w:p>
    <w:p>
      <w:pPr>
        <w:pStyle w:val="TextBody"/>
        <w:bidi w:val="0"/>
        <w:spacing w:before="120" w:after="0"/>
        <w:jc w:val="left"/>
        <w:rPr>
          <w:rFonts w:ascii="Times New Roman" w:hAnsi="Times New Roman"/>
          <w:sz w:val="20"/>
        </w:rPr>
      </w:pPr>
      <w:r>
        <w:rPr>
          <w:rFonts w:ascii="Times New Roman" w:hAnsi="Times New Roman"/>
          <w:sz w:val="20"/>
        </w:rPr>
        <w:t xml:space="preserve">(4) 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24 months from the date of acquisition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repurchase agreements entered into by any Person with a bank or trust company or recognized securities dealer, in each case, having capital and surplus in excess of $250,000,000 for direct obligations issued by or fully guaranteed or insured by the government or any agency or instrumentality of the United States, in which such Person shall have a perfected first priority security interest (subject to no other Liens) and having, on the date of purchase thereof, a fair market value of at least 100% of the amount of the repurchase obligations; </w:t>
      </w:r>
    </w:p>
    <w:p>
      <w:pPr>
        <w:pStyle w:val="TextBody"/>
        <w:bidi w:val="0"/>
        <w:spacing w:before="120" w:after="0"/>
        <w:jc w:val="left"/>
        <w:rPr>
          <w:rFonts w:ascii="Times New Roman" w:hAnsi="Times New Roman"/>
          <w:sz w:val="20"/>
        </w:rPr>
      </w:pPr>
      <w:r>
        <w:rPr>
          <w:rFonts w:ascii="Times New Roman" w:hAnsi="Times New Roman"/>
          <w:sz w:val="20"/>
        </w:rPr>
        <w:t xml:space="preserve">(6) securities with average maturities of 24 months or less from the date of acquisition issued or fully guaranteed by any state, commonwealth or territory of the United States, by any political subdivision, taxing authority agency or instrumentality of any such state, commonwealth or territory or by any foreign government having an investment grade rating from either S&amp;P or Moody’s (or the equivalent thereof); </w:t>
      </w:r>
    </w:p>
    <w:p>
      <w:pPr>
        <w:pStyle w:val="TextBody"/>
        <w:bidi w:val="0"/>
        <w:spacing w:before="120" w:after="0"/>
        <w:jc w:val="left"/>
        <w:rPr>
          <w:rFonts w:ascii="Times New Roman" w:hAnsi="Times New Roman"/>
          <w:sz w:val="20"/>
        </w:rPr>
      </w:pPr>
      <w:r>
        <w:rPr>
          <w:rFonts w:ascii="Times New Roman" w:hAnsi="Times New Roman"/>
          <w:sz w:val="20"/>
        </w:rPr>
        <w:t xml:space="preserve">(7) Investments with average maturities of 12 months or less from the date of acquisition in money market funds rated AAA- (or the equivalent thereof) or better by S&amp;P or Aaa3 (or the equivalent thereof) or better by Moody’s; </w:t>
      </w:r>
    </w:p>
    <w:p>
      <w:pPr>
        <w:pStyle w:val="TextBody"/>
        <w:bidi w:val="0"/>
        <w:spacing w:before="120" w:after="0"/>
        <w:jc w:val="left"/>
        <w:rPr>
          <w:rFonts w:ascii="Times New Roman" w:hAnsi="Times New Roman"/>
          <w:sz w:val="20"/>
        </w:rPr>
      </w:pPr>
      <w:r>
        <w:rPr>
          <w:rFonts w:ascii="Times New Roman" w:hAnsi="Times New Roman"/>
          <w:sz w:val="20"/>
        </w:rPr>
        <w:t xml:space="preserve">(8) Debt or preferred stock issued by Persons with a rating of “A” or higher from S&amp;P or “A2” or higher from Moody’s with maturities of 24 months or less from the date of acquisition, in each case in Dollars or another currency permitted above in this definition; </w:t>
      </w:r>
    </w:p>
    <w:p>
      <w:pPr>
        <w:pStyle w:val="TextBody"/>
        <w:bidi w:val="0"/>
        <w:spacing w:before="120" w:after="0"/>
        <w:jc w:val="left"/>
        <w:rPr>
          <w:rFonts w:ascii="Times New Roman" w:hAnsi="Times New Roman"/>
          <w:sz w:val="20"/>
        </w:rPr>
      </w:pPr>
      <w:r>
        <w:rPr>
          <w:rFonts w:ascii="Times New Roman" w:hAnsi="Times New Roman"/>
          <w:sz w:val="20"/>
        </w:rPr>
        <w:t xml:space="preserve">(9) in the case of Foreign Subsidiaries only, instruments equivalent to those referred to in clauses (1) through (8) above in each case denominated in any foreign currency comparable in credit quality and tenor to those referred to in such clauses above and customarily used by corporations for cash management purposes in any jurisdiction outside the United States to the extent reasonably required in connection with any business conducted by any Foreign Subsidiary organized in such jurisdiction; investments, classified in accordance with GAAP as current assets of the Issuer or any Restricted Subsidiary, in money market investment programs which are registered under the Investment Company Act of 1940, as amended, or which are administered by financial institutions having capital of at least $250,000,000, and, in either case, the portfolios of which are limited such that substantially all of such investments are of the character, quality and maturity described in clauses (1) through (8) of this definition; and </w:t>
      </w:r>
    </w:p>
    <w:p>
      <w:pPr>
        <w:pStyle w:val="TextBody"/>
        <w:bidi w:val="0"/>
        <w:spacing w:before="120" w:after="0"/>
        <w:jc w:val="left"/>
        <w:rPr>
          <w:rFonts w:ascii="Times New Roman" w:hAnsi="Times New Roman"/>
          <w:sz w:val="20"/>
        </w:rPr>
      </w:pPr>
      <w:r>
        <w:rPr>
          <w:rFonts w:ascii="Times New Roman" w:hAnsi="Times New Roman"/>
          <w:sz w:val="20"/>
        </w:rPr>
        <w:t xml:space="preserve">(10) credit card receipts in transit to the extent classified as cash or cash equivalents in accordance with GAAP.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occurrence of any of the following: (1) the direct or indirect sale, lease, transfer, conveyance or other disposition (other than by way of merger or consolidation), in one or more series of related transactions, of all or substantially all of the Issuer’s assets and the assets of the Issuer’s subsidiaries, taken as a whole, to any person, other than the Issuer or one of its subsidiaries; (2) the consummation of any transaction (including, without limitation, any merger or consolidation) the result of which is that any person becomes the Beneficial Owner, directly or indirectly, of more than 50% of the Issuer’s outstanding Voting Stock or other Voting Stock into which the Issuer’s Voting Stock is reclassified, consolidated,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exchanged or changed measured by voting power rather than number of shares; (3) the Issuer consolidates with, or merges with or into, any person, or any person consolidates with, or merges with or into, the Issuer, in any such event pursuant to a transaction in which any of the Issuer’s outstanding Voting Stock or the Voting Stock of such other person is converted into or exchanged for cash, securities or other property, other than any such transaction where the shares of the Issuer’s Voting Stock outstanding immediately prior to such transaction constitute, or are converted into or exchanged for, a majority of the Voting Stock of the surviving person or any direct or indirect parent company of the surviving person, immediately after giving effect to such transaction; or (4) the adoption of a plan relating to the Issuer’s liquidation or dissolution. </w:t>
      </w:r>
    </w:p>
    <w:p>
      <w:pPr>
        <w:pStyle w:val="TextBody"/>
        <w:bidi w:val="0"/>
        <w:spacing w:before="240" w:after="0"/>
        <w:jc w:val="left"/>
        <w:rPr>
          <w:rFonts w:ascii="Times New Roman" w:hAnsi="Times New Roman"/>
          <w:sz w:val="20"/>
        </w:rPr>
      </w:pPr>
      <w:r>
        <w:rPr>
          <w:rFonts w:ascii="Times New Roman" w:hAnsi="Times New Roman"/>
          <w:sz w:val="20"/>
        </w:rPr>
        <w:t>Notwithstanding the foregoing, a transaction will not be deemed to involve a change of control under clause (2) above if (i) the Issuer becomes a direct or indirect wholly-owned subsidiary of a holding company and (ii)(A) the direct or indirect holders of the Voting Stock of such holding company immediately following that transaction are substantially the same as the holders of the Issuer’s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w:t>
      </w:r>
      <w:r>
        <w:rPr>
          <w:rFonts w:ascii="Times New Roman" w:hAnsi="Times New Roman"/>
          <w:i/>
          <w:sz w:val="20"/>
        </w:rPr>
        <w:t>person</w:t>
      </w:r>
      <w:r>
        <w:rPr>
          <w:rFonts w:ascii="Times New Roman" w:hAnsi="Times New Roman"/>
          <w:sz w:val="20"/>
        </w:rPr>
        <w:t xml:space="preserve">,” as used in this definition, has the meaning given thereto in Section 13(d)(3) of the Exchange Act. </w:t>
      </w:r>
    </w:p>
    <w:p>
      <w:pPr>
        <w:pStyle w:val="TextBody"/>
        <w:bidi w:val="0"/>
        <w:spacing w:before="240" w:after="0"/>
        <w:jc w:val="left"/>
        <w:rPr/>
      </w:pPr>
      <w:r>
        <w:rPr/>
        <w:t>“</w:t>
      </w:r>
      <w:r>
        <w:rPr>
          <w:rFonts w:ascii="Times New Roman" w:hAnsi="Times New Roman"/>
          <w:i/>
          <w:sz w:val="20"/>
        </w:rPr>
        <w:t>Change of Control Triggering Event</w:t>
      </w:r>
      <w:r>
        <w:rPr>
          <w:rFonts w:ascii="Times New Roman" w:hAnsi="Times New Roman"/>
          <w:sz w:val="20"/>
        </w:rPr>
        <w:t xml:space="preserve">” means the occurrence of both a Change of Control and a Rating Event. </w:t>
      </w:r>
    </w:p>
    <w:p>
      <w:pPr>
        <w:pStyle w:val="TextBody"/>
        <w:bidi w:val="0"/>
        <w:spacing w:before="240" w:after="0"/>
        <w:jc w:val="left"/>
        <w:rPr/>
      </w:pPr>
      <w:r>
        <w:rPr/>
        <w:t>“</w:t>
      </w:r>
      <w:r>
        <w:rPr>
          <w:rFonts w:ascii="Times New Roman" w:hAnsi="Times New Roman"/>
          <w:i/>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i/>
          <w:sz w:val="20"/>
        </w:rPr>
        <w:t>Common Stock</w:t>
      </w:r>
      <w:r>
        <w:rPr>
          <w:rFonts w:ascii="Times New Roman" w:hAnsi="Times New Roman"/>
          <w:sz w:val="20"/>
        </w:rPr>
        <w:t xml:space="preserve">” of any Person means Capital Stock of such Person that does not rank prior, as to the payment of dividends or as to the distribution of assets upon any voluntary or involuntary liquidation, dissolution or winding-up of such Person, to shares of Capital Stock of any other class of such Person. </w:t>
      </w:r>
    </w:p>
    <w:p>
      <w:pPr>
        <w:pStyle w:val="TextBody"/>
        <w:bidi w:val="0"/>
        <w:spacing w:before="240" w:after="0"/>
        <w:jc w:val="left"/>
        <w:rPr/>
      </w:pPr>
      <w:r>
        <w:rPr/>
        <w:t>“</w:t>
      </w:r>
      <w:r>
        <w:rPr>
          <w:rFonts w:ascii="Times New Roman" w:hAnsi="Times New Roman"/>
          <w:i/>
          <w:sz w:val="20"/>
        </w:rPr>
        <w:t>Consolidated EBITDA</w:t>
      </w:r>
      <w:r>
        <w:rPr>
          <w:rFonts w:ascii="Times New Roman" w:hAnsi="Times New Roman"/>
          <w:sz w:val="20"/>
        </w:rPr>
        <w:t>” means, for any period, Consolidated Net Income for such period plus, without duplication and to the extent deducted in determining such Consolidated Net Income for such period, the sum of (a) income tax expense, (b) interest expense, amortization or write-off of debt discount and debt issuance costs and commissions, discounts and other fees and charges associated with indebtedness and other debt extinguishment charges, (c) depreciation and amortization expense, (d) amortization of intangibles (including, but not limited to, goodwill and acquired intangible assets) and organization costs, (e) non-cash extraordinary, unusual or non-recurring charges (including impairment charges), expenses or losses (including, without limitation, restructuring and other charges related to the sale, disposition or other transfer or winding down of any business or assets), (f) cash charges, expenses or losses (including, without limitation, restructuring, and other charges related to the sale, disposition or other transfer or winding down of any business or assets) (collectively, “</w:t>
      </w:r>
      <w:r>
        <w:rPr>
          <w:rFonts w:ascii="Times New Roman" w:hAnsi="Times New Roman"/>
          <w:i/>
          <w:sz w:val="20"/>
        </w:rPr>
        <w:t>Cash Charges</w:t>
      </w:r>
      <w:r>
        <w:rPr>
          <w:rFonts w:ascii="Times New Roman" w:hAnsi="Times New Roman"/>
          <w:sz w:val="20"/>
        </w:rPr>
        <w:t>”) not exceeding $200.0 million in the aggregate incurred annually (</w:t>
      </w:r>
      <w:r>
        <w:rPr>
          <w:rFonts w:ascii="Times New Roman" w:hAnsi="Times New Roman"/>
          <w:sz w:val="20"/>
          <w:u w:val="single"/>
        </w:rPr>
        <w:t>provided</w:t>
      </w:r>
      <w:r>
        <w:rPr>
          <w:rFonts w:ascii="Times New Roman" w:hAnsi="Times New Roman"/>
          <w:sz w:val="20"/>
        </w:rPr>
        <w:t xml:space="preserve"> that for any fiscal quarter during any consecutive four-fiscal-quarter period, in the event that the Issuer elects not to add back any Cash Charges for any fiscal quarter immediately following such fiscal quarter, the Issuer may still elect to add back such Cash Charges for such fiscal quarter during any period within such four consecutive fiscal quarter period), (g) non-cash expenses resulting from the grant of stock,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units and stock options (including, without limitation, restricted stock units) as compensation to directors, officers, employees or consultants of the Issuer or any of its Subsidiaries pursuant to a written plan or agreement or the treatment of such options under variable plan accounting, and (h) Pro Forma Cost Savings, </w:t>
      </w:r>
      <w:r>
        <w:rPr>
          <w:rFonts w:ascii="Times New Roman" w:hAnsi="Times New Roman"/>
          <w:sz w:val="20"/>
          <w:u w:val="single"/>
        </w:rPr>
        <w:t>and</w:t>
      </w:r>
      <w:r>
        <w:rPr>
          <w:rFonts w:ascii="Times New Roman" w:hAnsi="Times New Roman"/>
          <w:sz w:val="20"/>
        </w:rPr>
        <w:t xml:space="preserve"> minus, to the extent included in determining such Consolidated Net Income for such period, the sum of (a) interest income, (b) non-cash extraordinary, unusual or non-recurring income or gains (including, whether or not otherwise includable as a separate item in the statement of such Consolidated Net Income for such period, gains on the sales of assets outside of the ordinary course of business) and (c) any other non-cash income, all as determined on a consolidated basis. </w:t>
      </w:r>
    </w:p>
    <w:p>
      <w:pPr>
        <w:pStyle w:val="TextBody"/>
        <w:bidi w:val="0"/>
        <w:spacing w:before="240" w:after="0"/>
        <w:jc w:val="left"/>
        <w:rPr/>
      </w:pPr>
      <w:r>
        <w:rPr/>
        <w:t>“</w:t>
      </w:r>
      <w:r>
        <w:rPr>
          <w:rFonts w:ascii="Times New Roman" w:hAnsi="Times New Roman"/>
          <w:i/>
          <w:sz w:val="20"/>
        </w:rPr>
        <w:t>Consolidated Fixed Charge Coverage Ratio</w:t>
      </w:r>
      <w:r>
        <w:rPr>
          <w:rFonts w:ascii="Times New Roman" w:hAnsi="Times New Roman"/>
          <w:sz w:val="20"/>
        </w:rPr>
        <w:t xml:space="preserve">” as of any date of determination means the ratio of: </w:t>
      </w:r>
    </w:p>
    <w:p>
      <w:pPr>
        <w:pStyle w:val="TextBody"/>
        <w:bidi w:val="0"/>
        <w:spacing w:before="120" w:after="0"/>
        <w:jc w:val="left"/>
        <w:rPr>
          <w:rFonts w:ascii="Times New Roman" w:hAnsi="Times New Roman"/>
          <w:sz w:val="20"/>
        </w:rPr>
      </w:pPr>
      <w:r>
        <w:rPr>
          <w:rFonts w:ascii="Times New Roman" w:hAnsi="Times New Roman"/>
          <w:sz w:val="20"/>
        </w:rPr>
        <w:t xml:space="preserve">(1) Consolidated EBITDA for the period of the most recently completed four consecutive fiscal quarters for which quarterly or annual financial statements are available, to </w:t>
      </w:r>
    </w:p>
    <w:p>
      <w:pPr>
        <w:pStyle w:val="TextBody"/>
        <w:bidi w:val="0"/>
        <w:spacing w:before="120" w:after="0"/>
        <w:jc w:val="left"/>
        <w:rPr>
          <w:rFonts w:ascii="Times New Roman" w:hAnsi="Times New Roman"/>
          <w:sz w:val="20"/>
        </w:rPr>
      </w:pPr>
      <w:r>
        <w:rPr>
          <w:rFonts w:ascii="Times New Roman" w:hAnsi="Times New Roman"/>
          <w:sz w:val="20"/>
        </w:rPr>
        <w:t xml:space="preserve">(2) Consolidated Fixed Charges for such period;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Consolidated Fixed Charges shall be adjusted to give effect on a pro forma basis to any Debt that has been Incurred, repaid or redeemed by the Issuer or any Restricted Subsidiary (other than revolving credit borrowings Incurred for working capital purposes unless, in connection with any such repayment, the commitments to lend associated with such revolving credit borrowings are permanently reduced or canceled) since the beginning of such period and to any Debt that is proposed to be Incurred, repaid or redeemed by the Issuer or any Restricted Subsidiary as if in each case such Debt had been Incurred, repaid or redeemed on the first day of such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making such computation, the Consolidated Fixed Charges attributable to interest on any proposed Debt bearing a floating interest rate shall be computed on a pro forma basis as if the rate in effect on the date of computation had been the applicable rate for the entire period;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 xml:space="preserve">further </w:t>
      </w:r>
      <w:r>
        <w:rPr>
          <w:rFonts w:ascii="Times New Roman" w:hAnsi="Times New Roman"/>
          <w:sz w:val="20"/>
        </w:rPr>
        <w:t xml:space="preserve">that, in the event the Issuer or any of its Restricted Subsidiaries has made Asset Dispositions or acquisitions of assets not in the ordinary course of business (including acquisitions of other Persons by merger, consolidation or purchase of Capital Stock) during or after such period, such computation shall be made on a pro forma basis as if the Asset Dispositions or acquisitions had taken place on the first day of such period. For purposes of this definition, whenever pro forma effect is to be given to any calculation under this definition, the pro forma calculations will be determined in good faith by a responsible financial or accounting officer of the Issuer. </w:t>
      </w:r>
    </w:p>
    <w:p>
      <w:pPr>
        <w:pStyle w:val="TextBody"/>
        <w:bidi w:val="0"/>
        <w:spacing w:before="240" w:after="0"/>
        <w:jc w:val="left"/>
        <w:rPr/>
      </w:pPr>
      <w:r>
        <w:rPr/>
        <w:t>“</w:t>
      </w:r>
      <w:r>
        <w:rPr>
          <w:rFonts w:ascii="Times New Roman" w:hAnsi="Times New Roman"/>
          <w:i/>
          <w:sz w:val="20"/>
        </w:rPr>
        <w:t>Consolidated Fixed Charges</w:t>
      </w:r>
      <w:r>
        <w:rPr>
          <w:rFonts w:ascii="Times New Roman" w:hAnsi="Times New Roman"/>
          <w:sz w:val="20"/>
        </w:rPr>
        <w:t xml:space="preserve">” means for any period for any Person, without duplication, the sum of: </w:t>
      </w:r>
    </w:p>
    <w:p>
      <w:pPr>
        <w:pStyle w:val="TextBody"/>
        <w:bidi w:val="0"/>
        <w:spacing w:before="120" w:after="0"/>
        <w:jc w:val="left"/>
        <w:rPr>
          <w:rFonts w:ascii="Times New Roman" w:hAnsi="Times New Roman"/>
          <w:sz w:val="20"/>
        </w:rPr>
      </w:pPr>
      <w:r>
        <w:rPr>
          <w:rFonts w:ascii="Times New Roman" w:hAnsi="Times New Roman"/>
          <w:sz w:val="20"/>
        </w:rPr>
        <w:t xml:space="preserve">(1) Consolidated Interest Expense of such Person and its Restricted Subsidiaries for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all cash dividends or other distributions paid (excluding items eliminated in consolidation) on any series of Preferred Stock of any Restricted Subsidiary that is not a Subsidiary Guarantor; and </w:t>
      </w:r>
    </w:p>
    <w:p>
      <w:pPr>
        <w:pStyle w:val="TextBody"/>
        <w:bidi w:val="0"/>
        <w:spacing w:before="120" w:after="0"/>
        <w:jc w:val="left"/>
        <w:rPr>
          <w:rFonts w:ascii="Times New Roman" w:hAnsi="Times New Roman"/>
          <w:sz w:val="20"/>
        </w:rPr>
      </w:pPr>
      <w:r>
        <w:rPr>
          <w:rFonts w:ascii="Times New Roman" w:hAnsi="Times New Roman"/>
          <w:sz w:val="20"/>
        </w:rPr>
        <w:t xml:space="preserve">(3) all cash dividends or other distributions paid (excluding items eliminated in consolidation) on any Redeemable Stock of such Person or any of its Restricted Subsidiaries during such period. </w:t>
      </w:r>
    </w:p>
    <w:p>
      <w:pPr>
        <w:pStyle w:val="TextBody"/>
        <w:bidi w:val="0"/>
        <w:spacing w:before="240" w:after="0"/>
        <w:jc w:val="left"/>
        <w:rPr/>
      </w:pPr>
      <w:r>
        <w:rPr/>
        <w:t>“</w:t>
      </w:r>
      <w:r>
        <w:rPr>
          <w:rFonts w:ascii="Times New Roman" w:hAnsi="Times New Roman"/>
          <w:i/>
          <w:sz w:val="20"/>
        </w:rPr>
        <w:t>Consolidated Interest Expense</w:t>
      </w:r>
      <w:r>
        <w:rPr>
          <w:rFonts w:ascii="Times New Roman" w:hAnsi="Times New Roman"/>
          <w:sz w:val="20"/>
        </w:rPr>
        <w:t xml:space="preserve">” means for any period the consolidated interest expense included in a consolidated income statement (net of any interest income) of the Issuer and its Restricted Subsidiaries calculated on a consolidated basis in accordance with GAAP, but excluding, without limitation or duplication: </w:t>
      </w:r>
    </w:p>
    <w:p>
      <w:pPr>
        <w:pStyle w:val="TextBody"/>
        <w:bidi w:val="0"/>
        <w:spacing w:before="120" w:after="0"/>
        <w:jc w:val="left"/>
        <w:rPr>
          <w:rFonts w:ascii="Times New Roman" w:hAnsi="Times New Roman"/>
          <w:sz w:val="20"/>
        </w:rPr>
      </w:pPr>
      <w:r>
        <w:rPr>
          <w:rFonts w:ascii="Times New Roman" w:hAnsi="Times New Roman"/>
          <w:sz w:val="20"/>
        </w:rPr>
        <w:t xml:space="preserve">(1) amortization of deferred financing costs, debt issuance costs, commissions, fees and expenses, original issue discount and any other amounts of non-cash interest (including as a result of the effects of acquisition method accounting or pushdown accounting); </w:t>
      </w:r>
    </w:p>
    <w:p>
      <w:pPr>
        <w:pStyle w:val="TextBody"/>
        <w:bidi w:val="0"/>
        <w:spacing w:before="120" w:after="0"/>
        <w:jc w:val="left"/>
        <w:rPr>
          <w:rFonts w:ascii="Times New Roman" w:hAnsi="Times New Roman"/>
          <w:sz w:val="20"/>
        </w:rPr>
      </w:pPr>
      <w:r>
        <w:rPr>
          <w:rFonts w:ascii="Times New Roman" w:hAnsi="Times New Roman"/>
          <w:sz w:val="20"/>
        </w:rPr>
        <w:t xml:space="preserve">(2) non-cash interest expense attributable to the movement of the mark-to-market valuation of obligations under hedging agreements or other derivative instruments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(3) any one-time cash costs associated with breakage in respect of hedging agreements for interest rates; </w:t>
      </w:r>
    </w:p>
    <w:p>
      <w:pPr>
        <w:pStyle w:val="TextBody"/>
        <w:bidi w:val="0"/>
        <w:spacing w:before="120" w:after="0"/>
        <w:jc w:val="left"/>
        <w:rPr>
          <w:rFonts w:ascii="Times New Roman" w:hAnsi="Times New Roman"/>
          <w:sz w:val="20"/>
        </w:rPr>
      </w:pPr>
      <w:r>
        <w:rPr>
          <w:rFonts w:ascii="Times New Roman" w:hAnsi="Times New Roman"/>
          <w:sz w:val="20"/>
        </w:rPr>
        <w:t xml:space="preserve">(4) commissions, discounts, yield, make-whole premium and other fees and charges (including any interest expense) incurred in connection with any Permitted Securitization or Permitted Cash Management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(5) all non-recurring cash interest expense or “additional interest,” in each case owing pursuant to a registration rights agreement with respect to any securities; </w:t>
      </w:r>
    </w:p>
    <w:p>
      <w:pPr>
        <w:pStyle w:val="TextBody"/>
        <w:bidi w:val="0"/>
        <w:spacing w:before="120" w:after="0"/>
        <w:jc w:val="left"/>
        <w:rPr>
          <w:rFonts w:ascii="Times New Roman" w:hAnsi="Times New Roman"/>
          <w:sz w:val="20"/>
        </w:rPr>
      </w:pPr>
      <w:r>
        <w:rPr>
          <w:rFonts w:ascii="Times New Roman" w:hAnsi="Times New Roman"/>
          <w:sz w:val="20"/>
        </w:rPr>
        <w:t xml:space="preserve">(6) any payments with respect to make-whole premiums or other breakage costs of any Debt; </w:t>
      </w:r>
    </w:p>
    <w:p>
      <w:pPr>
        <w:pStyle w:val="TextBody"/>
        <w:bidi w:val="0"/>
        <w:spacing w:before="120" w:after="0"/>
        <w:jc w:val="left"/>
        <w:rPr>
          <w:rFonts w:ascii="Times New Roman" w:hAnsi="Times New Roman"/>
          <w:sz w:val="20"/>
        </w:rPr>
      </w:pPr>
      <w:r>
        <w:rPr>
          <w:rFonts w:ascii="Times New Roman" w:hAnsi="Times New Roman"/>
          <w:sz w:val="20"/>
        </w:rPr>
        <w:t xml:space="preserve">(7) penalties and interest relating to taxes; </w:t>
      </w:r>
    </w:p>
    <w:p>
      <w:pPr>
        <w:pStyle w:val="TextBody"/>
        <w:bidi w:val="0"/>
        <w:spacing w:before="120" w:after="0"/>
        <w:jc w:val="left"/>
        <w:rPr>
          <w:rFonts w:ascii="Times New Roman" w:hAnsi="Times New Roman"/>
          <w:sz w:val="20"/>
        </w:rPr>
      </w:pPr>
      <w:r>
        <w:rPr>
          <w:rFonts w:ascii="Times New Roman" w:hAnsi="Times New Roman"/>
          <w:sz w:val="20"/>
        </w:rPr>
        <w:t xml:space="preserve">(8) accretion or accrual of discounted liabilities; </w:t>
      </w:r>
    </w:p>
    <w:p>
      <w:pPr>
        <w:pStyle w:val="TextBody"/>
        <w:bidi w:val="0"/>
        <w:spacing w:before="120" w:after="0"/>
        <w:jc w:val="left"/>
        <w:rPr>
          <w:rFonts w:ascii="Times New Roman" w:hAnsi="Times New Roman"/>
          <w:sz w:val="20"/>
        </w:rPr>
      </w:pPr>
      <w:r>
        <w:rPr>
          <w:rFonts w:ascii="Times New Roman" w:hAnsi="Times New Roman"/>
          <w:sz w:val="20"/>
        </w:rPr>
        <w:t xml:space="preserve">(9) any expense resulting from the discounting of Debt in connection with the application of recapitalization or purchase accounting; </w:t>
      </w:r>
    </w:p>
    <w:p>
      <w:pPr>
        <w:pStyle w:val="TextBody"/>
        <w:bidi w:val="0"/>
        <w:spacing w:before="120" w:after="0"/>
        <w:jc w:val="left"/>
        <w:rPr>
          <w:rFonts w:ascii="Times New Roman" w:hAnsi="Times New Roman"/>
          <w:sz w:val="20"/>
        </w:rPr>
      </w:pPr>
      <w:r>
        <w:rPr>
          <w:rFonts w:ascii="Times New Roman" w:hAnsi="Times New Roman"/>
          <w:sz w:val="20"/>
        </w:rPr>
        <w:t xml:space="preserve">(10) any interest expense attributable to the exercise of appraisal rights and the settlement of any claims or actions (whether actual, contingent or potential) with respect thereto and with respect to any permitted acquisition or similar Investment permitted under this Indenture;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expenses resulting from the bridge, arrangement, structuring, commitment or other financing fees. </w:t>
      </w:r>
    </w:p>
    <w:p>
      <w:pPr>
        <w:pStyle w:val="TextBody"/>
        <w:bidi w:val="0"/>
        <w:spacing w:before="240" w:after="0"/>
        <w:jc w:val="left"/>
        <w:rPr/>
      </w:pPr>
      <w:r>
        <w:rPr/>
        <w:t>“</w:t>
      </w:r>
      <w:r>
        <w:rPr>
          <w:rFonts w:ascii="Times New Roman" w:hAnsi="Times New Roman"/>
          <w:i/>
          <w:sz w:val="20"/>
        </w:rPr>
        <w:t>Consolidated Net Income</w:t>
      </w:r>
      <w:r>
        <w:rPr>
          <w:rFonts w:ascii="Times New Roman" w:hAnsi="Times New Roman"/>
          <w:sz w:val="20"/>
        </w:rPr>
        <w:t xml:space="preserve">” means, for any period, the consolidated net income (or loss) of the Issuer and its Subsidiaries, determined on a consolidated basis in accordance with GAAP; </w:t>
      </w:r>
      <w:r>
        <w:rPr>
          <w:rFonts w:ascii="Times New Roman" w:hAnsi="Times New Roman"/>
          <w:sz w:val="20"/>
          <w:u w:val="single"/>
        </w:rPr>
        <w:t>provided</w:t>
      </w:r>
      <w:r>
        <w:rPr>
          <w:rFonts w:ascii="Times New Roman" w:hAnsi="Times New Roman"/>
          <w:sz w:val="20"/>
        </w:rPr>
        <w:t xml:space="preserve"> that there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 the income (or deficit) of any Person accrued prior to the date it becomes a Subsidiary of the Issuer or is merged into or consolidated with the Issuer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(2) the income (or deficit) of any Person (other than a Subsidiary of the Issuer) in which the Issuer or any of its Subsidiaries has an ownership interest, except to the extent that any such income is actually received by the Issuer or such Subsidiary in the form of dividends or similar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(3) depreciation and amortization expense; </w:t>
      </w:r>
    </w:p>
    <w:p>
      <w:pPr>
        <w:pStyle w:val="TextBody"/>
        <w:bidi w:val="0"/>
        <w:spacing w:before="120" w:after="0"/>
        <w:jc w:val="left"/>
        <w:rPr>
          <w:rFonts w:ascii="Times New Roman" w:hAnsi="Times New Roman"/>
          <w:sz w:val="20"/>
        </w:rPr>
      </w:pPr>
      <w:r>
        <w:rPr>
          <w:rFonts w:ascii="Times New Roman" w:hAnsi="Times New Roman"/>
          <w:sz w:val="20"/>
        </w:rPr>
        <w:t xml:space="preserve">(4) amortization of intangibles (including, but not limited to, goodwill and indefinite-lived intangible assets) and organization costs; </w:t>
      </w:r>
    </w:p>
    <w:p>
      <w:pPr>
        <w:pStyle w:val="TextBody"/>
        <w:bidi w:val="0"/>
        <w:spacing w:before="120" w:after="0"/>
        <w:jc w:val="left"/>
        <w:rPr>
          <w:rFonts w:ascii="Times New Roman" w:hAnsi="Times New Roman"/>
          <w:sz w:val="20"/>
        </w:rPr>
      </w:pPr>
      <w:r>
        <w:rPr>
          <w:rFonts w:ascii="Times New Roman" w:hAnsi="Times New Roman"/>
          <w:sz w:val="20"/>
        </w:rPr>
        <w:t xml:space="preserve">(5) after-tax gains and losses from Asset Dispositions or abandonments or reserves relating thereto; </w:t>
      </w:r>
    </w:p>
    <w:p>
      <w:pPr>
        <w:pStyle w:val="TextBody"/>
        <w:bidi w:val="0"/>
        <w:spacing w:before="120" w:after="0"/>
        <w:jc w:val="left"/>
        <w:rPr>
          <w:rFonts w:ascii="Times New Roman" w:hAnsi="Times New Roman"/>
          <w:sz w:val="20"/>
        </w:rPr>
      </w:pPr>
      <w:r>
        <w:rPr>
          <w:rFonts w:ascii="Times New Roman" w:hAnsi="Times New Roman"/>
          <w:sz w:val="20"/>
        </w:rPr>
        <w:t xml:space="preserve">(6) any and all costs, expenses, fees, fines, penalties, judgments, legal settlements and other amounts associated with any restructuring, litigation, claim, proceeding or investigation related to or undertaken by the Issuer or any of its Restricted Subsidiaries and included in the Issuer’s audited financial statements prepared in accordance with GAAP, together with any related provision for taxes; </w:t>
      </w:r>
    </w:p>
    <w:p>
      <w:pPr>
        <w:pStyle w:val="TextBody"/>
        <w:bidi w:val="0"/>
        <w:spacing w:before="120" w:after="0"/>
        <w:jc w:val="left"/>
        <w:rPr>
          <w:rFonts w:ascii="Times New Roman" w:hAnsi="Times New Roman"/>
          <w:sz w:val="20"/>
        </w:rPr>
      </w:pPr>
      <w:r>
        <w:rPr>
          <w:rFonts w:ascii="Times New Roman" w:hAnsi="Times New Roman"/>
          <w:sz w:val="20"/>
        </w:rPr>
        <w:t xml:space="preserve">(7) the cumulative effect of a change in accounting principles or policies during such period; </w:t>
      </w:r>
    </w:p>
    <w:p>
      <w:pPr>
        <w:pStyle w:val="TextBody"/>
        <w:bidi w:val="0"/>
        <w:spacing w:before="120" w:after="0"/>
        <w:jc w:val="left"/>
        <w:rPr>
          <w:rFonts w:ascii="Times New Roman" w:hAnsi="Times New Roman"/>
          <w:sz w:val="20"/>
        </w:rPr>
      </w:pPr>
      <w:r>
        <w:rPr>
          <w:rFonts w:ascii="Times New Roman" w:hAnsi="Times New Roman"/>
          <w:sz w:val="20"/>
        </w:rPr>
        <w:t xml:space="preserve">(8) effects of adjustments (including the effects of such adjustments pushed down to such Person and its Restricted Subsidiaries) in the Person’s consolidated financial statements pursuant to GAAP resulting from the application of recapitalization accounting or purchase accounting, as the case may be, in relation to any consummated acquisition or the amortization or write-off or removal of revenue otherwise recognizable on any amounts thereof, net of taxes; </w:t>
      </w:r>
    </w:p>
    <w:p>
      <w:pPr>
        <w:pStyle w:val="TextBody"/>
        <w:bidi w:val="0"/>
        <w:spacing w:before="120" w:after="0"/>
        <w:jc w:val="left"/>
        <w:rPr>
          <w:rFonts w:ascii="Times New Roman" w:hAnsi="Times New Roman"/>
          <w:sz w:val="20"/>
        </w:rPr>
      </w:pPr>
      <w:r>
        <w:rPr>
          <w:rFonts w:ascii="Times New Roman" w:hAnsi="Times New Roman"/>
          <w:sz w:val="20"/>
        </w:rPr>
        <w:t xml:space="preserve">(9) (a) any fees, commissions and expenses incurred during such period, or any amortization or write-off thereof for such period in connection with any acquisition, Investment, Asset Disposition, issuance or repayment of Debt, issuance of equity interests, refinancing transaction or amendment or modification of any Debt Facility (in each case, including any such transaction consummated prior to the Issue Date and any such transaction undertaken but not completed) and any charges or non-recurring merger costs incurred during such period as a result of any such transaction and (b) accruals and reserves that are established or adjusted within 12 months after the date of any acquisition or other similar Investment, in each case, in accordance with GAAP or as a result of the adoption or modification of accounting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any unrealized or realized net gain or loss resulting from currency translation or transaction gains or losses impacting net income (including currency remeasurements of Debt) and any foreign currency translation or transaction gains or losses shall be excluded, including those resulting from intercompany Debt; and </w:t>
      </w:r>
    </w:p>
    <w:p>
      <w:pPr>
        <w:pStyle w:val="TextBody"/>
        <w:bidi w:val="0"/>
        <w:spacing w:before="120" w:after="0"/>
        <w:jc w:val="left"/>
        <w:rPr>
          <w:rFonts w:ascii="Times New Roman" w:hAnsi="Times New Roman"/>
          <w:sz w:val="20"/>
        </w:rPr>
      </w:pPr>
      <w:r>
        <w:rPr>
          <w:rFonts w:ascii="Times New Roman" w:hAnsi="Times New Roman"/>
          <w:sz w:val="20"/>
        </w:rPr>
        <w:t xml:space="preserve">(11) non-cash extraordinary, unusual or non-recurring charges (including impairment charges), expenses or losses (including, without limitation, restructuring and other charges related to the sale, disposition or other transfer or winding down of any business or assets). </w:t>
      </w:r>
    </w:p>
    <w:p>
      <w:pPr>
        <w:pStyle w:val="TextBody"/>
        <w:bidi w:val="0"/>
        <w:spacing w:before="240" w:after="0"/>
        <w:jc w:val="left"/>
        <w:rPr/>
      </w:pPr>
      <w:r>
        <w:rPr/>
        <w:t>“</w:t>
      </w:r>
      <w:r>
        <w:rPr>
          <w:rFonts w:ascii="Times New Roman" w:hAnsi="Times New Roman"/>
          <w:i/>
          <w:sz w:val="20"/>
        </w:rPr>
        <w:t>Consolidated Total Assets</w:t>
      </w:r>
      <w:r>
        <w:rPr>
          <w:rFonts w:ascii="Times New Roman" w:hAnsi="Times New Roman"/>
          <w:sz w:val="20"/>
        </w:rPr>
        <w:t>” means, as of any date of determination, the total assets of the Issuer and its Restricted Subsidiaries on a consolidated basis in accordance with GAAP, as shown on the most recent balance sheet of the Issuer (</w:t>
      </w:r>
      <w:r>
        <w:rPr>
          <w:rFonts w:ascii="Times New Roman" w:hAnsi="Times New Roman"/>
          <w:sz w:val="20"/>
          <w:u w:val="single"/>
        </w:rPr>
        <w:t>provided</w:t>
      </w:r>
      <w:r>
        <w:rPr>
          <w:rFonts w:ascii="Times New Roman" w:hAnsi="Times New Roman"/>
          <w:sz w:val="20"/>
        </w:rPr>
        <w:t xml:space="preserve"> that, in the case of any determination relating to any incurrence of Debt or any Investment or other acquisition, may be calculated on a pro forma basis in a manner consistent with the definition of “Consolidated Fixed Charge Coverage Ratio”), it being understood that, for purposes of determining compliance of a transaction with any limitation set forth in Article IV that is based upon a specified percentage of Consolidated Total Assets, compliance of such transaction with the applicable restriction shall be determined solely with reference to Consolidated Total Assets as determined above in this definition. </w:t>
      </w:r>
    </w:p>
    <w:p>
      <w:pPr>
        <w:pStyle w:val="TextBody"/>
        <w:bidi w:val="0"/>
        <w:spacing w:before="240" w:after="0"/>
        <w:jc w:val="left"/>
        <w:rPr/>
      </w:pPr>
      <w:r>
        <w:rPr/>
        <w:t>“</w:t>
      </w:r>
      <w:r>
        <w:rPr>
          <w:rFonts w:ascii="Times New Roman" w:hAnsi="Times New Roman"/>
          <w:i/>
          <w:sz w:val="20"/>
        </w:rPr>
        <w:t>Contribution Indebtedness</w:t>
      </w:r>
      <w:r>
        <w:rPr>
          <w:rFonts w:ascii="Times New Roman" w:hAnsi="Times New Roman"/>
          <w:sz w:val="20"/>
        </w:rPr>
        <w:t xml:space="preserve">” means Debt of the Issuer or any Subsidiary Guarantor in an aggregate principal amount not greater than the aggregate amount of cash contributions made to the capital of the Issuer (other than contributions by any Restricted Subsidiary) and designated as a Cash Contribution Amount; </w:t>
      </w:r>
      <w:r>
        <w:rPr>
          <w:rFonts w:ascii="Times New Roman" w:hAnsi="Times New Roman"/>
          <w:sz w:val="20"/>
          <w:u w:val="single"/>
        </w:rPr>
        <w:t>provided</w:t>
      </w:r>
      <w:r>
        <w:rPr>
          <w:rFonts w:ascii="Times New Roman" w:hAnsi="Times New Roman"/>
          <w:sz w:val="20"/>
        </w:rPr>
        <w:t xml:space="preserve"> that such Contribution Indebtedness (a) is Incurred within 210 days after the making of such cash contributions and (b) is so designated as Contribution Indebtedness pursuant to an Officer’s Certificate on the Incurrence date thereof. </w:t>
      </w:r>
    </w:p>
    <w:p>
      <w:pPr>
        <w:pStyle w:val="TextBody"/>
        <w:bidi w:val="0"/>
        <w:spacing w:before="240" w:after="0"/>
        <w:jc w:val="left"/>
        <w:rPr/>
      </w:pPr>
      <w:r>
        <w:rPr/>
        <w:t>“</w:t>
      </w:r>
      <w:r>
        <w:rPr>
          <w:rFonts w:ascii="Times New Roman" w:hAnsi="Times New Roman"/>
          <w:i/>
          <w:sz w:val="20"/>
        </w:rPr>
        <w:t>Convertible Debt</w:t>
      </w:r>
      <w:r>
        <w:rPr>
          <w:rFonts w:ascii="Times New Roman" w:hAnsi="Times New Roman"/>
          <w:sz w:val="20"/>
        </w:rPr>
        <w:t xml:space="preserve">” means Debt of the Issuer or any of its Restricted Subsidiaries that is convertible or exchangeable into Common Stock of the Issuer and/or cash based on the value of such Common Stock. </w:t>
      </w:r>
    </w:p>
    <w:p>
      <w:pPr>
        <w:pStyle w:val="TextBody"/>
        <w:bidi w:val="0"/>
        <w:spacing w:before="240" w:after="0"/>
        <w:jc w:val="left"/>
        <w:rPr/>
      </w:pPr>
      <w:r>
        <w:rPr/>
        <w:t>“</w:t>
      </w:r>
      <w:r>
        <w:rPr>
          <w:rFonts w:ascii="Times New Roman" w:hAnsi="Times New Roman"/>
          <w:i/>
          <w:sz w:val="20"/>
        </w:rPr>
        <w:t>Corporate Trust Office</w:t>
      </w:r>
      <w:r>
        <w:rPr>
          <w:rFonts w:ascii="Times New Roman" w:hAnsi="Times New Roman"/>
          <w:sz w:val="20"/>
        </w:rPr>
        <w:t xml:space="preserve">” means the offices of the Trustee at which at any time its corporate trust business shall be principally administered, which office as of the date hereof is located at U.S. Bank Trust Company, National Association, 2 Concourse Parkway, Suite 800, Atlanta, Georgia 30328-5588, Attention: Corporate Trust Department, or such other address as the Trustee may designate from time to time by notice to the Holders and the Issuer, or the corporate trust office of any successor trustee (or such other address as such successor trustee may designate from time to time by notice to the Holders and the Issuer). </w:t>
      </w:r>
    </w:p>
    <w:p>
      <w:pPr>
        <w:pStyle w:val="TextBody"/>
        <w:bidi w:val="0"/>
        <w:spacing w:before="240" w:after="0"/>
        <w:jc w:val="left"/>
        <w:rPr/>
      </w:pPr>
      <w:r>
        <w:rPr/>
        <w:t>“</w:t>
      </w:r>
      <w:r>
        <w:rPr>
          <w:rFonts w:ascii="Times New Roman" w:hAnsi="Times New Roman"/>
          <w:i/>
          <w:sz w:val="20"/>
        </w:rPr>
        <w:t>Debt</w:t>
      </w:r>
      <w:r>
        <w:rPr>
          <w:rFonts w:ascii="Times New Roman" w:hAnsi="Times New Roman"/>
          <w:sz w:val="20"/>
        </w:rPr>
        <w:t xml:space="preserve">” means (without duplication), with respect to any Person, whether recourse is to all or a portion of the assets of such Person and whether or not contingent: </w:t>
      </w:r>
    </w:p>
    <w:p>
      <w:pPr>
        <w:pStyle w:val="TextBody"/>
        <w:bidi w:val="0"/>
        <w:spacing w:before="120" w:after="0"/>
        <w:jc w:val="left"/>
        <w:rPr>
          <w:rFonts w:ascii="Times New Roman" w:hAnsi="Times New Roman"/>
          <w:sz w:val="20"/>
        </w:rPr>
      </w:pPr>
      <w:r>
        <w:rPr>
          <w:rFonts w:ascii="Times New Roman" w:hAnsi="Times New Roman"/>
          <w:sz w:val="20"/>
        </w:rPr>
        <w:t xml:space="preserve">(1) every obligation of such Person for money borrowed;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every obligation of such Person evidenced by bonds, debentures, notes or other similar instruments; </w:t>
      </w:r>
    </w:p>
    <w:p>
      <w:pPr>
        <w:pStyle w:val="TextBody"/>
        <w:bidi w:val="0"/>
        <w:spacing w:before="120" w:after="0"/>
        <w:jc w:val="left"/>
        <w:rPr>
          <w:rFonts w:ascii="Times New Roman" w:hAnsi="Times New Roman"/>
          <w:sz w:val="20"/>
        </w:rPr>
      </w:pPr>
      <w:r>
        <w:rPr>
          <w:rFonts w:ascii="Times New Roman" w:hAnsi="Times New Roman"/>
          <w:sz w:val="20"/>
        </w:rPr>
        <w:t xml:space="preserve">(3) every reimbursement obligation of such Person with respect to letters of credit, bankers’ acceptances or similar facilities issued for the account of such Person (excluding obligations with respect to letters of credit securing obligations (other than obligations with respect to borrowed money) entered into in the ordinary course of business of such Person to the extent such letters of credit are not drawn upon or, if and to the extent drawn upon, such drawing is reimbursed no later than the 30th day following receipt by such Person of a demand for reimbursement following payment on the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(4) to the extent constituting a liability under GAAP, every obligation of such Person issued or assumed as the deferred purchase price of property or services (including securities repurchase agreements but excluding trade accounts payable or accrued and other liabilities arising in the ordinary course of business and with respect to services, excluding deferred compensation to employees), which purchase price is due more than six months after the date of placing such property in service or taking delivery and title thereto or engaging such services; </w:t>
      </w:r>
    </w:p>
    <w:p>
      <w:pPr>
        <w:pStyle w:val="TextBody"/>
        <w:bidi w:val="0"/>
        <w:spacing w:before="120" w:after="0"/>
        <w:jc w:val="left"/>
        <w:rPr>
          <w:rFonts w:ascii="Times New Roman" w:hAnsi="Times New Roman"/>
          <w:sz w:val="20"/>
        </w:rPr>
      </w:pPr>
      <w:r>
        <w:rPr>
          <w:rFonts w:ascii="Times New Roman" w:hAnsi="Times New Roman"/>
          <w:sz w:val="20"/>
        </w:rPr>
        <w:t xml:space="preserve">(5) every Finance Lease Obligation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(6) all Receivables Sales of such Person to the extent sold with recourse to such Person; </w:t>
      </w:r>
    </w:p>
    <w:p>
      <w:pPr>
        <w:pStyle w:val="TextBody"/>
        <w:bidi w:val="0"/>
        <w:spacing w:before="120" w:after="0"/>
        <w:jc w:val="left"/>
        <w:rPr>
          <w:rFonts w:ascii="Times New Roman" w:hAnsi="Times New Roman"/>
          <w:sz w:val="20"/>
        </w:rPr>
      </w:pPr>
      <w:r>
        <w:rPr>
          <w:rFonts w:ascii="Times New Roman" w:hAnsi="Times New Roman"/>
          <w:sz w:val="20"/>
        </w:rPr>
        <w:t xml:space="preserve">(7) if such Person is a Restricted Subsidiary that is not a Subsidiary Guarantor, all Preferred Stock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(8) all Redeemable Stock issued by such Person valued at the greater of its voluntary or involuntary maximum fixed repurchase price plus accrued and unpaid dividends; </w:t>
      </w:r>
    </w:p>
    <w:p>
      <w:pPr>
        <w:pStyle w:val="TextBody"/>
        <w:bidi w:val="0"/>
        <w:spacing w:before="120" w:after="0"/>
        <w:jc w:val="left"/>
        <w:rPr>
          <w:rFonts w:ascii="Times New Roman" w:hAnsi="Times New Roman"/>
          <w:sz w:val="20"/>
        </w:rPr>
      </w:pPr>
      <w:r>
        <w:rPr>
          <w:rFonts w:ascii="Times New Roman" w:hAnsi="Times New Roman"/>
          <w:sz w:val="20"/>
        </w:rPr>
        <w:t xml:space="preserve">(9) every obligation of any other Person of the type referred to in clauses (1) through (7) Guaranteed by such Person; and </w:t>
      </w:r>
    </w:p>
    <w:p>
      <w:pPr>
        <w:pStyle w:val="TextBody"/>
        <w:bidi w:val="0"/>
        <w:spacing w:before="120" w:after="0"/>
        <w:jc w:val="left"/>
        <w:rPr>
          <w:rFonts w:ascii="Times New Roman" w:hAnsi="Times New Roman"/>
          <w:sz w:val="20"/>
        </w:rPr>
      </w:pPr>
      <w:r>
        <w:rPr>
          <w:rFonts w:ascii="Times New Roman" w:hAnsi="Times New Roman"/>
          <w:sz w:val="20"/>
        </w:rPr>
        <w:t xml:space="preserve">(10) every obligation of any other Person of the type referred to in clauses (1) through (7) which is secured by any Lien on any property or asset of such Person, the amount of which shall be deemed to be equal to the lesser of (a) the amount of the obligation so secured and (b) the fair market value of the property or asset and the amount of the obligation so secured as determined by such Person in good faith.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Debt shall not include (1) any lease, concession or license of property (or guarantee thereof) which would be considered an operating lease under GAAP as in effect on the Issue Date or (2) any obligation arising from any agreement entered into in connection with the acquisition of any business or assets with any seller of such business or assets that provides for the payment of earn-outs to such seller or guarantees to such seller a minimum price to be realized by such seller upon the sale of any Capital Stock (other than Redeemable Stock) of the Issuer that was issued by the Issuer to such seller in connection with such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Debt Facilities</w:t>
      </w:r>
      <w:r>
        <w:rPr>
          <w:rFonts w:ascii="Times New Roman" w:hAnsi="Times New Roman"/>
          <w:sz w:val="20"/>
        </w:rPr>
        <w:t xml:space="preserve">” means one or more credit facilities, debt facilities, indentures, note purchase agreements or commercial paper facilities (including, without limitation, the New ABL Credit Facility), in each case with banks or other financial institutions or lenders or investors, providing for revolving credit loans, term loans, private placements, bonds or other debt securities, receivables financings (including through the sale of receivables to such lenders or to special purpose entities formed to borrow from such lenders against such receivables) or letters of credit or letter of credit guarantees, in each case, as amended, restated, modified, supplemented, extended, renewed, refunded, replaced or refinanced in whole or in part from time to time. </w:t>
      </w:r>
    </w:p>
    <w:p>
      <w:pPr>
        <w:pStyle w:val="TextBody"/>
        <w:bidi w:val="0"/>
        <w:spacing w:before="240" w:after="0"/>
        <w:jc w:val="left"/>
        <w:rPr/>
      </w:pPr>
      <w:r>
        <w:rPr/>
        <w:t>“</w:t>
      </w:r>
      <w:r>
        <w:rPr>
          <w:rFonts w:ascii="Times New Roman" w:hAnsi="Times New Roman"/>
          <w:i/>
          <w:sz w:val="20"/>
        </w:rPr>
        <w:t>Default</w:t>
      </w:r>
      <w:r>
        <w:rPr>
          <w:rFonts w:ascii="Times New Roman" w:hAnsi="Times New Roman"/>
          <w:sz w:val="20"/>
        </w:rPr>
        <w:t xml:space="preserve">” means any of the events described in Section 6.1 which with the passage of time, the giving of notice or any other condition, would constitute an Event of Default. </w:t>
      </w:r>
    </w:p>
    <w:p>
      <w:pPr>
        <w:pStyle w:val="TextBody"/>
        <w:bidi w:val="0"/>
        <w:spacing w:before="240" w:after="0"/>
        <w:jc w:val="left"/>
        <w:rPr/>
      </w:pPr>
      <w:r>
        <w:rPr/>
        <w:t>“</w:t>
      </w:r>
      <w:r>
        <w:rPr>
          <w:rFonts w:ascii="Times New Roman" w:hAnsi="Times New Roman"/>
          <w:i/>
          <w:sz w:val="20"/>
        </w:rPr>
        <w:t>Depositary</w:t>
      </w:r>
      <w:r>
        <w:rPr>
          <w:rFonts w:ascii="Times New Roman" w:hAnsi="Times New Roman"/>
          <w:sz w:val="20"/>
        </w:rPr>
        <w:t xml:space="preserve">” means with respect to the Notes issuable or issued in whole or in part in global form, the Person specified in Section 2.3 hereof as the Depositary with respect to the Global Notes, and any and all successors thereto appointed as Depositary hereunder and having become such pursuant to the applicable provision of this Indenture. </w:t>
      </w:r>
    </w:p>
    <w:p>
      <w:pPr>
        <w:pStyle w:val="TextBody"/>
        <w:bidi w:val="0"/>
        <w:spacing w:before="240" w:after="0"/>
        <w:jc w:val="left"/>
        <w:rPr/>
      </w:pPr>
      <w:r>
        <w:rPr/>
        <w:t>“</w:t>
      </w:r>
      <w:r>
        <w:rPr>
          <w:rFonts w:ascii="Times New Roman" w:hAnsi="Times New Roman"/>
          <w:i/>
          <w:sz w:val="20"/>
        </w:rPr>
        <w:t>Designated Non-cash Consideration</w:t>
      </w:r>
      <w:r>
        <w:rPr>
          <w:rFonts w:ascii="Times New Roman" w:hAnsi="Times New Roman"/>
          <w:sz w:val="20"/>
        </w:rPr>
        <w:t xml:space="preserve">” means the Fair Market Value of non-cash consideration received by the Issuer or any of its Restricted Subsidiaries in connection with an Asset Disposition that is so designated in good faith by senior management of the Issuer. The aggregate Fair Market Value of the Designated Non-cash Consideration, taken together with the Fair Market Value at the time of receipt of all other Designated Non-cash Consideration received, shall not exceed in the aggregate outstanding at any one time the greater of (x) $150.0 million and (y) 1.25% of the Consolidated Total Assets determined at the time of such Asset Disposition (with the Fair Market Value being measured at the time received and without giving effect to subsequent changes in value). </w:t>
      </w:r>
    </w:p>
    <w:p>
      <w:pPr>
        <w:pStyle w:val="TextBody"/>
        <w:bidi w:val="0"/>
        <w:spacing w:before="240" w:after="0"/>
        <w:jc w:val="left"/>
        <w:rPr/>
      </w:pPr>
      <w:r>
        <w:rPr/>
        <w:t>“</w:t>
      </w:r>
      <w:r>
        <w:rPr>
          <w:rFonts w:ascii="Times New Roman" w:hAnsi="Times New Roman"/>
          <w:i/>
          <w:sz w:val="20"/>
        </w:rPr>
        <w:t>Disinterested Director</w:t>
      </w:r>
      <w:r>
        <w:rPr>
          <w:rFonts w:ascii="Times New Roman" w:hAnsi="Times New Roman"/>
          <w:sz w:val="20"/>
        </w:rPr>
        <w:t xml:space="preserve">” means, with respect to any transaction or series of related transactions, a member of the Board of Directors of the Issuer who does not have any material direct or indirect financial interest in or with respect to such transaction or series of transactions. </w:t>
      </w:r>
    </w:p>
    <w:p>
      <w:pPr>
        <w:pStyle w:val="TextBody"/>
        <w:bidi w:val="0"/>
        <w:spacing w:before="240" w:after="0"/>
        <w:jc w:val="left"/>
        <w:rPr/>
      </w:pPr>
      <w:r>
        <w:rPr/>
        <w:t>“</w:t>
      </w:r>
      <w:r>
        <w:rPr>
          <w:rFonts w:ascii="Times New Roman" w:hAnsi="Times New Roman"/>
          <w:i/>
          <w:sz w:val="20"/>
        </w:rPr>
        <w:t>Dollar</w:t>
      </w:r>
      <w:r>
        <w:rPr>
          <w:rFonts w:ascii="Times New Roman" w:hAnsi="Times New Roman"/>
          <w:sz w:val="20"/>
        </w:rPr>
        <w:t>,” “</w:t>
      </w:r>
      <w:r>
        <w:rPr>
          <w:rFonts w:ascii="Times New Roman" w:hAnsi="Times New Roman"/>
          <w:i/>
          <w:sz w:val="20"/>
        </w:rPr>
        <w:t>U.S. dollar</w:t>
      </w:r>
      <w:r>
        <w:rPr>
          <w:rFonts w:ascii="Times New Roman" w:hAnsi="Times New Roman"/>
          <w:sz w:val="20"/>
        </w:rPr>
        <w:t>” or “</w:t>
      </w:r>
      <w:r>
        <w:rPr>
          <w:rFonts w:ascii="Times New Roman" w:hAnsi="Times New Roman"/>
          <w:i/>
          <w:sz w:val="20"/>
        </w:rPr>
        <w:t>$</w:t>
      </w:r>
      <w:r>
        <w:rPr>
          <w:rFonts w:ascii="Times New Roman" w:hAnsi="Times New Roman"/>
          <w:sz w:val="20"/>
        </w:rPr>
        <w:t xml:space="preserve">” means the lawful money of the United States of America. </w:t>
      </w:r>
    </w:p>
    <w:p>
      <w:pPr>
        <w:pStyle w:val="TextBody"/>
        <w:bidi w:val="0"/>
        <w:spacing w:before="240" w:after="0"/>
        <w:jc w:val="left"/>
        <w:rPr/>
      </w:pPr>
      <w:r>
        <w:rPr/>
        <w:t>“</w:t>
      </w:r>
      <w:r>
        <w:rPr>
          <w:rFonts w:ascii="Times New Roman" w:hAnsi="Times New Roman"/>
          <w:i/>
          <w:sz w:val="20"/>
        </w:rPr>
        <w:t>Domestic Subsidiaries</w:t>
      </w:r>
      <w:r>
        <w:rPr>
          <w:rFonts w:ascii="Times New Roman" w:hAnsi="Times New Roman"/>
          <w:sz w:val="20"/>
        </w:rPr>
        <w:t xml:space="preserve">” means each of the Issuer’s wholly-owned domestic Restricted Subsidiaries that are not Foreign Subsidiaries. </w:t>
      </w:r>
    </w:p>
    <w:p>
      <w:pPr>
        <w:pStyle w:val="TextBody"/>
        <w:bidi w:val="0"/>
        <w:spacing w:before="240" w:after="0"/>
        <w:jc w:val="left"/>
        <w:rPr/>
      </w:pPr>
      <w:r>
        <w:rPr/>
        <w:t>“</w:t>
      </w:r>
      <w:r>
        <w:rPr>
          <w:rFonts w:ascii="Times New Roman" w:hAnsi="Times New Roman"/>
          <w:i/>
          <w:sz w:val="20"/>
        </w:rPr>
        <w:t>DTC</w:t>
      </w:r>
      <w:r>
        <w:rPr>
          <w:rFonts w:ascii="Times New Roman" w:hAnsi="Times New Roman"/>
          <w:sz w:val="20"/>
        </w:rPr>
        <w:t xml:space="preserve">” means The Depository Trust Company and any successor.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U.S. Securities Exchange Act of 1934, as amended, and the rules and regulations of the SEC promulgated thereunder. </w:t>
      </w:r>
    </w:p>
    <w:p>
      <w:pPr>
        <w:pStyle w:val="TextBody"/>
        <w:bidi w:val="0"/>
        <w:spacing w:before="240" w:after="0"/>
        <w:jc w:val="left"/>
        <w:rPr/>
      </w:pPr>
      <w:r>
        <w:rPr/>
        <w:t>“</w:t>
      </w:r>
      <w:r>
        <w:rPr>
          <w:rFonts w:ascii="Times New Roman" w:hAnsi="Times New Roman"/>
          <w:i/>
          <w:sz w:val="20"/>
        </w:rPr>
        <w:t>Existing Indentures</w:t>
      </w:r>
      <w:r>
        <w:rPr>
          <w:rFonts w:ascii="Times New Roman" w:hAnsi="Times New Roman"/>
          <w:sz w:val="20"/>
        </w:rPr>
        <w:t xml:space="preserve">” means, collectively, the 2014 Existing Indenture and the 2025 Existing Indenture. </w:t>
      </w:r>
    </w:p>
    <w:p>
      <w:pPr>
        <w:pStyle w:val="TextBody"/>
        <w:bidi w:val="0"/>
        <w:spacing w:before="240" w:after="0"/>
        <w:jc w:val="left"/>
        <w:rPr/>
      </w:pPr>
      <w:r>
        <w:rPr/>
        <w:t>“</w:t>
      </w:r>
      <w:r>
        <w:rPr>
          <w:rFonts w:ascii="Times New Roman" w:hAnsi="Times New Roman"/>
          <w:i/>
          <w:sz w:val="20"/>
        </w:rPr>
        <w:t>Fair Market Value</w:t>
      </w:r>
      <w:r>
        <w:rPr>
          <w:rFonts w:ascii="Times New Roman" w:hAnsi="Times New Roman"/>
          <w:sz w:val="20"/>
        </w:rPr>
        <w:t xml:space="preserve">” means, with respect to any asset or property, the sale value that would be obtained in an arm’s-length free market transaction between an informed and willing seller under no compulsion to sell and an informed and willing buyer under no compulsion to buy, determined in good faith by senior management or the Board of Directors of the Issuer, whose determination will be conclusive for all purposes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Finance Lease Obligation</w:t>
      </w:r>
      <w:r>
        <w:rPr>
          <w:rFonts w:ascii="Times New Roman" w:hAnsi="Times New Roman"/>
          <w:sz w:val="20"/>
        </w:rPr>
        <w:t xml:space="preserve">” of any Person means the obligation to pay rent or other payment amounts under a lease of real or personal property of such Person that has been or should be, in accordance with GAAP (except for temporary treatment of construction-related expenditures under Accounting Standards Codification Topic 840 which will ultimately be treated as operating leases upon a sale and leaseback transaction), recorded on the balance sheet as capitalized leases in accordance with GAAP as in effect on the Issue Date. For the avoidance of doubt, no existing or future lease that is or would be required to be accounted for as an operating lease under GAAP as in effect on the Issue Date will be deemed to be a Finance Lease Obligation. The Stated Maturity of such obligation shall be the date of the last payment of rent or any other amount due under such lease prior to the first date upon which such lease may be terminated by the lessee without payment of a penalty. The principal amount of such obligation shall be the capitalized amount thereof that would appear on the face of a balance sheet of such Person in accordance with GAAP. </w:t>
      </w:r>
    </w:p>
    <w:p>
      <w:pPr>
        <w:pStyle w:val="TextBody"/>
        <w:bidi w:val="0"/>
        <w:spacing w:before="240" w:after="0"/>
        <w:jc w:val="left"/>
        <w:rPr/>
      </w:pPr>
      <w:r>
        <w:rPr/>
        <w:t>“</w:t>
      </w:r>
      <w:r>
        <w:rPr>
          <w:rFonts w:ascii="Times New Roman" w:hAnsi="Times New Roman"/>
          <w:i/>
          <w:sz w:val="20"/>
        </w:rPr>
        <w:t>Fitch</w:t>
      </w:r>
      <w:r>
        <w:rPr>
          <w:rFonts w:ascii="Times New Roman" w:hAnsi="Times New Roman"/>
          <w:sz w:val="20"/>
        </w:rPr>
        <w:t xml:space="preserve">” means Fitch Inc. and its successors. </w:t>
      </w:r>
    </w:p>
    <w:p>
      <w:pPr>
        <w:pStyle w:val="TextBody"/>
        <w:bidi w:val="0"/>
        <w:spacing w:before="240" w:after="0"/>
        <w:jc w:val="left"/>
        <w:rPr/>
      </w:pPr>
      <w:r>
        <w:rPr/>
        <w:t>“</w:t>
      </w:r>
      <w:r>
        <w:rPr>
          <w:rFonts w:ascii="Times New Roman" w:hAnsi="Times New Roman"/>
          <w:i/>
          <w:sz w:val="20"/>
        </w:rPr>
        <w:t>Foreign Subsidiary</w:t>
      </w:r>
      <w:r>
        <w:rPr>
          <w:rFonts w:ascii="Times New Roman" w:hAnsi="Times New Roman"/>
          <w:sz w:val="20"/>
        </w:rPr>
        <w:t xml:space="preserve">” means (x) any Restricted Subsidiary that is not organized under the laws of the United States of America or any State thereof or the District of Columbia or (y) for purposes of Section 4.16, in addition to any Restricted Subsidiary described in clause (x), any Restricted Subsidiary (i) that is organized under the laws of the United States of America or any State thereof or the District of Columbia and has no material assets other than, directly or indirectly, Capital Stock of one or more foreign entities of the type described in clause (x) above or (ii) that is a Subsidiary of a “controlled foreign corporation” within the meaning of Section 957(a) of the Code.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accounting principles generally accepted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(except as otherwise provided in the definition of “Finance Lease Obligation”). </w:t>
      </w:r>
    </w:p>
    <w:p>
      <w:pPr>
        <w:pStyle w:val="TextBody"/>
        <w:bidi w:val="0"/>
        <w:spacing w:before="240" w:after="0"/>
        <w:jc w:val="left"/>
        <w:rPr/>
      </w:pPr>
      <w:r>
        <w:rPr/>
        <w:t>“</w:t>
      </w:r>
      <w:r>
        <w:rPr>
          <w:rFonts w:ascii="Times New Roman" w:hAnsi="Times New Roman"/>
          <w:i/>
          <w:sz w:val="20"/>
        </w:rPr>
        <w:t>Global Note Legend</w:t>
      </w:r>
      <w:r>
        <w:rPr>
          <w:rFonts w:ascii="Times New Roman" w:hAnsi="Times New Roman"/>
          <w:sz w:val="20"/>
        </w:rPr>
        <w:t xml:space="preserve">” means the legend identified as such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Global Notes</w:t>
      </w:r>
      <w:r>
        <w:rPr>
          <w:rFonts w:ascii="Times New Roman" w:hAnsi="Times New Roman"/>
          <w:sz w:val="20"/>
        </w:rPr>
        <w:t xml:space="preserve">” means the Notes that are in the form of </w:t>
      </w:r>
      <w:r>
        <w:rPr>
          <w:rFonts w:ascii="Times New Roman" w:hAnsi="Times New Roman"/>
          <w:sz w:val="20"/>
          <w:u w:val="single"/>
        </w:rPr>
        <w:t>Exhibit A</w:t>
      </w:r>
      <w:r>
        <w:rPr>
          <w:rFonts w:ascii="Times New Roman" w:hAnsi="Times New Roman"/>
          <w:sz w:val="20"/>
        </w:rPr>
        <w:t xml:space="preserve"> issued in global form and registered in the name of the Depositary or its nominee. </w:t>
      </w:r>
    </w:p>
    <w:p>
      <w:pPr>
        <w:pStyle w:val="TextBody"/>
        <w:bidi w:val="0"/>
        <w:spacing w:before="240" w:after="0"/>
        <w:jc w:val="left"/>
        <w:rPr/>
      </w:pPr>
      <w:r>
        <w:rPr/>
        <w:t>“</w:t>
      </w:r>
      <w:r>
        <w:rPr>
          <w:rFonts w:ascii="Times New Roman" w:hAnsi="Times New Roman"/>
          <w:i/>
          <w:sz w:val="20"/>
        </w:rPr>
        <w:t>Guarantee</w:t>
      </w:r>
      <w:r>
        <w:rPr>
          <w:rFonts w:ascii="Times New Roman" w:hAnsi="Times New Roman"/>
          <w:sz w:val="20"/>
        </w:rPr>
        <w:t>” by any Person means any obligation, contingent or otherwise, of such Person guaranteeing, or having the economic effect of guaranteeing, any Debt of any other Person (the “</w:t>
      </w:r>
      <w:r>
        <w:rPr>
          <w:rFonts w:ascii="Times New Roman" w:hAnsi="Times New Roman"/>
          <w:i/>
          <w:sz w:val="20"/>
        </w:rPr>
        <w:t>primary obligor</w:t>
      </w:r>
      <w:r>
        <w:rPr>
          <w:rFonts w:ascii="Times New Roman" w:hAnsi="Times New Roman"/>
          <w:sz w:val="20"/>
        </w:rPr>
        <w:t xml:space="preserve">”) in any manner, whether directly or indirectly, and including, without limitation, any obligation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(1) to purchase or pay (or advance or supply funds for the purchase or payment of) such Debt or to purchase (or to advance or supply funds for the purchase of) any security for the payment of such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to purchase property, securities or services for the purpose of assuring the holder of such Debt of the payment of such Debt, or </w:t>
      </w:r>
    </w:p>
    <w:p>
      <w:pPr>
        <w:pStyle w:val="TextBody"/>
        <w:bidi w:val="0"/>
        <w:spacing w:before="120" w:after="0"/>
        <w:jc w:val="left"/>
        <w:rPr>
          <w:rFonts w:ascii="Times New Roman" w:hAnsi="Times New Roman"/>
          <w:sz w:val="20"/>
        </w:rPr>
      </w:pPr>
      <w:r>
        <w:rPr>
          <w:rFonts w:ascii="Times New Roman" w:hAnsi="Times New Roman"/>
          <w:sz w:val="20"/>
        </w:rPr>
        <w:t>(3) to maintain working capital, equity capital or other financial statement condition or liquidity of the primary obligor so as to enable the primary obligor to pay such Debt (and “</w:t>
      </w:r>
      <w:r>
        <w:rPr>
          <w:rFonts w:ascii="Times New Roman" w:hAnsi="Times New Roman"/>
          <w:i/>
          <w:sz w:val="20"/>
        </w:rPr>
        <w:t>Guaranteed</w:t>
      </w:r>
      <w:r>
        <w:rPr>
          <w:rFonts w:ascii="Times New Roman" w:hAnsi="Times New Roman"/>
          <w:sz w:val="20"/>
        </w:rPr>
        <w:t>,” “</w:t>
      </w:r>
      <w:r>
        <w:rPr>
          <w:rFonts w:ascii="Times New Roman" w:hAnsi="Times New Roman"/>
          <w:i/>
          <w:sz w:val="20"/>
        </w:rPr>
        <w:t>Guaranteeing</w:t>
      </w:r>
      <w:r>
        <w:rPr>
          <w:rFonts w:ascii="Times New Roman" w:hAnsi="Times New Roman"/>
          <w:sz w:val="20"/>
        </w:rPr>
        <w:t>” and “</w:t>
      </w:r>
      <w:r>
        <w:rPr>
          <w:rFonts w:ascii="Times New Roman" w:hAnsi="Times New Roman"/>
          <w:i/>
          <w:sz w:val="20"/>
        </w:rPr>
        <w:t>Guarantor</w:t>
      </w:r>
      <w:r>
        <w:rPr>
          <w:rFonts w:ascii="Times New Roman" w:hAnsi="Times New Roman"/>
          <w:sz w:val="20"/>
        </w:rPr>
        <w:t xml:space="preserve">” shall have meanings correlative to the foregoing);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Guarantee by any Person shall not include endorsements by such Person for collection or deposit, in either case, in the ordinary course of business. </w:t>
      </w:r>
    </w:p>
    <w:p>
      <w:pPr>
        <w:pStyle w:val="TextBody"/>
        <w:bidi w:val="0"/>
        <w:spacing w:before="240" w:after="0"/>
        <w:jc w:val="left"/>
        <w:rPr/>
      </w:pPr>
      <w:r>
        <w:rPr/>
        <w:t>“</w:t>
      </w:r>
      <w:r>
        <w:rPr>
          <w:rFonts w:ascii="Times New Roman" w:hAnsi="Times New Roman"/>
          <w:i/>
          <w:sz w:val="20"/>
        </w:rPr>
        <w:t>Holder</w:t>
      </w:r>
      <w:r>
        <w:rPr>
          <w:rFonts w:ascii="Times New Roman" w:hAnsi="Times New Roman"/>
          <w:sz w:val="20"/>
        </w:rPr>
        <w:t xml:space="preserve">” means a Person in whose name the Note is registered on the Registrar’s books. </w:t>
      </w:r>
    </w:p>
    <w:p>
      <w:pPr>
        <w:pStyle w:val="TextBody"/>
        <w:bidi w:val="0"/>
        <w:spacing w:before="240" w:after="0"/>
        <w:jc w:val="left"/>
        <w:rPr/>
      </w:pPr>
      <w:r>
        <w:rPr/>
        <w:t>“</w:t>
      </w:r>
      <w:r>
        <w:rPr>
          <w:rFonts w:ascii="Times New Roman" w:hAnsi="Times New Roman"/>
          <w:i/>
          <w:sz w:val="20"/>
        </w:rPr>
        <w:t>IAI</w:t>
      </w:r>
      <w:r>
        <w:rPr>
          <w:rFonts w:ascii="Times New Roman" w:hAnsi="Times New Roman"/>
          <w:sz w:val="20"/>
        </w:rPr>
        <w:t xml:space="preserve">” means an investor constituting an “accredited investor” within the meaning of Rule 501(a)(1), (2), (3) or (7) under the Securities Act. </w:t>
      </w:r>
    </w:p>
    <w:p>
      <w:pPr>
        <w:pStyle w:val="TextBody"/>
        <w:bidi w:val="0"/>
        <w:spacing w:before="240" w:after="0"/>
        <w:jc w:val="left"/>
        <w:rPr/>
      </w:pPr>
      <w:r>
        <w:rPr/>
        <w:t>“</w:t>
      </w:r>
      <w:r>
        <w:rPr>
          <w:rFonts w:ascii="Times New Roman" w:hAnsi="Times New Roman"/>
          <w:i/>
          <w:sz w:val="20"/>
        </w:rPr>
        <w:t>Incur</w:t>
      </w:r>
      <w:r>
        <w:rPr>
          <w:rFonts w:ascii="Times New Roman" w:hAnsi="Times New Roman"/>
          <w:sz w:val="20"/>
        </w:rPr>
        <w:t>” means, with respect to any Debt or other obligation of any Person, to create, issue, incur (by conversion, exchange or otherwise), assume, Guarantee or otherwise become liable in respect of such Debt or other obligation including by acquisition of Subsidiaries or the recording, as required pursuant to GAAP or otherwise, of any such Debt or other obligation on the balance sheet of such Person (and “</w:t>
      </w:r>
      <w:r>
        <w:rPr>
          <w:rFonts w:ascii="Times New Roman" w:hAnsi="Times New Roman"/>
          <w:i/>
          <w:sz w:val="20"/>
        </w:rPr>
        <w:t>Incurrence</w:t>
      </w:r>
      <w:r>
        <w:rPr>
          <w:rFonts w:ascii="Times New Roman" w:hAnsi="Times New Roman"/>
          <w:sz w:val="20"/>
        </w:rPr>
        <w:t>,” “</w:t>
      </w:r>
      <w:r>
        <w:rPr>
          <w:rFonts w:ascii="Times New Roman" w:hAnsi="Times New Roman"/>
          <w:i/>
          <w:sz w:val="20"/>
        </w:rPr>
        <w:t>Incurred</w:t>
      </w:r>
      <w:r>
        <w:rPr>
          <w:rFonts w:ascii="Times New Roman" w:hAnsi="Times New Roman"/>
          <w:sz w:val="20"/>
        </w:rPr>
        <w:t>” and “</w:t>
      </w:r>
      <w:r>
        <w:rPr>
          <w:rFonts w:ascii="Times New Roman" w:hAnsi="Times New Roman"/>
          <w:i/>
          <w:sz w:val="20"/>
        </w:rPr>
        <w:t>Incurring</w:t>
      </w:r>
      <w:r>
        <w:rPr>
          <w:rFonts w:ascii="Times New Roman" w:hAnsi="Times New Roman"/>
          <w:sz w:val="20"/>
        </w:rPr>
        <w:t xml:space="preserve">” shall have meanings correlative to the foregoing);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change in GAAP that results in an obligation of such Person that exists at such time becoming Debt shall not be deemed an Incurrence of such Debt. </w:t>
      </w:r>
    </w:p>
    <w:p>
      <w:pPr>
        <w:pStyle w:val="TextBody"/>
        <w:bidi w:val="0"/>
        <w:spacing w:before="240" w:after="0"/>
        <w:jc w:val="left"/>
        <w:rPr/>
      </w:pPr>
      <w:r>
        <w:rPr/>
        <w:t>“</w:t>
      </w:r>
      <w:r>
        <w:rPr>
          <w:rFonts w:ascii="Times New Roman" w:hAnsi="Times New Roman"/>
          <w:i/>
          <w:sz w:val="20"/>
        </w:rPr>
        <w:t>Indenture</w:t>
      </w:r>
      <w:r>
        <w:rPr>
          <w:rFonts w:ascii="Times New Roman" w:hAnsi="Times New Roman"/>
          <w:sz w:val="20"/>
        </w:rPr>
        <w:t xml:space="preserve">” means this Indenture, as amended or supplemented from time to time. </w:t>
      </w:r>
    </w:p>
    <w:p>
      <w:pPr>
        <w:pStyle w:val="TextBody"/>
        <w:bidi w:val="0"/>
        <w:spacing w:before="240" w:after="0"/>
        <w:jc w:val="left"/>
        <w:rPr/>
      </w:pPr>
      <w:r>
        <w:rPr/>
        <w:t>“</w:t>
      </w:r>
      <w:r>
        <w:rPr>
          <w:rFonts w:ascii="Times New Roman" w:hAnsi="Times New Roman"/>
          <w:i/>
          <w:sz w:val="20"/>
        </w:rPr>
        <w:t>Initial Notes</w:t>
      </w:r>
      <w:r>
        <w:rPr>
          <w:rFonts w:ascii="Times New Roman" w:hAnsi="Times New Roman"/>
          <w:sz w:val="20"/>
        </w:rPr>
        <w:t xml:space="preserve">” has the meaning set forth in the recitals hereto. </w:t>
      </w:r>
    </w:p>
    <w:p>
      <w:pPr>
        <w:pStyle w:val="TextBody"/>
        <w:bidi w:val="0"/>
        <w:spacing w:before="240" w:after="0"/>
        <w:jc w:val="left"/>
        <w:rPr/>
      </w:pPr>
      <w:r>
        <w:rPr/>
        <w:t>“</w:t>
      </w:r>
      <w:r>
        <w:rPr>
          <w:rFonts w:ascii="Times New Roman" w:hAnsi="Times New Roman"/>
          <w:i/>
          <w:sz w:val="20"/>
        </w:rPr>
        <w:t>Interest Rate, Currency or Commodity Price Agreement</w:t>
      </w:r>
      <w:r>
        <w:rPr>
          <w:rFonts w:ascii="Times New Roman" w:hAnsi="Times New Roman"/>
          <w:sz w:val="20"/>
        </w:rPr>
        <w:t xml:space="preserve">” of any Person means any forward contract, futures contract, swap, option or other financial agreement or arrangement (including, without limitation, caps, floors, collars and similar agreements) relating to, or the value of which is dependent upon, interest rates, currency exchange rates or commodity prices or indices (excluding contracts for the purchase or sale of goods in the ordinary course of business). </w:t>
      </w:r>
    </w:p>
    <w:p>
      <w:pPr>
        <w:pStyle w:val="TextBody"/>
        <w:bidi w:val="0"/>
        <w:spacing w:before="240" w:after="0"/>
        <w:jc w:val="left"/>
        <w:rPr/>
      </w:pPr>
      <w:r>
        <w:rPr/>
        <w:t>“</w:t>
      </w:r>
      <w:r>
        <w:rPr>
          <w:rFonts w:ascii="Times New Roman" w:hAnsi="Times New Roman"/>
          <w:i/>
          <w:sz w:val="20"/>
        </w:rPr>
        <w:t>Investment</w:t>
      </w:r>
      <w:r>
        <w:rPr>
          <w:rFonts w:ascii="Times New Roman" w:hAnsi="Times New Roman"/>
          <w:sz w:val="20"/>
        </w:rPr>
        <w:t xml:space="preserve">” by any Person means any direct or indirect loan, advance or other extension of credit or capital contribution (by means of transfers of cash or other property (other than Capital Stock that is neither Redeemable Stock nor Preferred Stock of a Restricted Subsidiary) to others or payments for property or services for the account or use of others, or otherwise) to, or purchase or acquisition of Capital Stock, bonds, notes, debentures or other securities or evidence of Debt issued by, any other Person, including any Guarantee of any obligation of such other Person, but shall not include: </w:t>
      </w:r>
    </w:p>
    <w:p>
      <w:pPr>
        <w:pStyle w:val="TextBody"/>
        <w:bidi w:val="0"/>
        <w:spacing w:before="120" w:after="0"/>
        <w:jc w:val="left"/>
        <w:rPr>
          <w:rFonts w:ascii="Times New Roman" w:hAnsi="Times New Roman"/>
          <w:sz w:val="20"/>
        </w:rPr>
      </w:pPr>
      <w:r>
        <w:rPr>
          <w:rFonts w:ascii="Times New Roman" w:hAnsi="Times New Roman"/>
          <w:sz w:val="20"/>
        </w:rPr>
        <w:t xml:space="preserve">(1) trade accounts receivable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 any Permitted Interest Rate, Currency or Commodity Price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endorsements of negotiable instruments and documents in the ordinary course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(4) pension fund contributions in the ordinary course of business. </w:t>
      </w:r>
    </w:p>
    <w:p>
      <w:pPr>
        <w:pStyle w:val="TextBody"/>
        <w:bidi w:val="0"/>
        <w:spacing w:before="240" w:after="0"/>
        <w:jc w:val="left"/>
        <w:rPr/>
      </w:pPr>
      <w:r>
        <w:rPr/>
        <w:t>“</w:t>
      </w:r>
      <w:r>
        <w:rPr>
          <w:rFonts w:ascii="Times New Roman" w:hAnsi="Times New Roman"/>
          <w:i/>
          <w:sz w:val="20"/>
        </w:rPr>
        <w:t>Investment Grade Rating</w:t>
      </w:r>
      <w:r>
        <w:rPr>
          <w:rFonts w:ascii="Times New Roman" w:hAnsi="Times New Roman"/>
          <w:sz w:val="20"/>
        </w:rPr>
        <w:t xml:space="preserve">” means a rating equal to or higher than BBB- (or the equivalent) by Fitch, a rating equal to or higher than Baa3 (or the equivalent) by Moody’s or a rating equal to or higher than BBB- (or the equivalent) by S&amp;P, as the case may be, or, if any such rating agency ceases to rate the Notes for reasons outside the Issuer’s control, a rating equal to or higher than the equivalent investment grade credit rating from any replacement rating agency or rating agencies selected by the Issuer. </w:t>
      </w:r>
    </w:p>
    <w:p>
      <w:pPr>
        <w:pStyle w:val="TextBody"/>
        <w:bidi w:val="0"/>
        <w:spacing w:before="240" w:after="0"/>
        <w:jc w:val="left"/>
        <w:rPr/>
      </w:pPr>
      <w:r>
        <w:rPr/>
        <w:t>“</w:t>
      </w:r>
      <w:r>
        <w:rPr>
          <w:rFonts w:ascii="Times New Roman" w:hAnsi="Times New Roman"/>
          <w:i/>
          <w:sz w:val="20"/>
        </w:rPr>
        <w:t>Investment Grade Securities</w:t>
      </w:r>
      <w:r>
        <w:rPr>
          <w:rFonts w:ascii="Times New Roman" w:hAnsi="Times New Roman"/>
          <w:sz w:val="20"/>
        </w:rPr>
        <w:t xml:space="preserve">” means (i) securities issued or directly and fully guaranteed or insured by the United States government or any agency or instrumentality thereof (other than Cash Equivalents), (ii) debt securities or debt instruments with an Investment Grade Rating, but excluding any debt securities or instruments constituting loans or advances among the Issuer and its Subsidiaries, (iii) investments in any fund that invests exclusively in investments of the type described in clauses (i) and (ii), which fund may also hold immaterial amounts of cash pending investment or distribution, and (iv) corresponding instruments in countries other than the United States customarily utilized for high quality investments. </w:t>
      </w:r>
    </w:p>
    <w:p>
      <w:pPr>
        <w:pStyle w:val="TextBody"/>
        <w:bidi w:val="0"/>
        <w:spacing w:before="240" w:after="0"/>
        <w:jc w:val="left"/>
        <w:rPr/>
      </w:pPr>
      <w:r>
        <w:rPr/>
        <w:t>“</w:t>
      </w:r>
      <w:r>
        <w:rPr>
          <w:rFonts w:ascii="Times New Roman" w:hAnsi="Times New Roman"/>
          <w:i/>
          <w:sz w:val="20"/>
        </w:rPr>
        <w:t>Issue Date</w:t>
      </w:r>
      <w:r>
        <w:rPr>
          <w:rFonts w:ascii="Times New Roman" w:hAnsi="Times New Roman"/>
          <w:sz w:val="20"/>
        </w:rPr>
        <w:t xml:space="preserve">” means August 19, 2026. </w:t>
      </w:r>
    </w:p>
    <w:p>
      <w:pPr>
        <w:pStyle w:val="TextBody"/>
        <w:bidi w:val="0"/>
        <w:spacing w:before="240" w:after="0"/>
        <w:jc w:val="left"/>
        <w:rPr/>
      </w:pPr>
      <w:r>
        <w:rPr/>
        <w:t>“</w:t>
      </w:r>
      <w:r>
        <w:rPr>
          <w:rFonts w:ascii="Times New Roman" w:hAnsi="Times New Roman"/>
          <w:i/>
          <w:sz w:val="20"/>
        </w:rPr>
        <w:t>Lien</w:t>
      </w:r>
      <w:r>
        <w:rPr>
          <w:rFonts w:ascii="Times New Roman" w:hAnsi="Times New Roman"/>
          <w:sz w:val="20"/>
        </w:rPr>
        <w:t xml:space="preserve">” means, with respect to any property or assets, any mortgage or deed of trust, pledge, hypothecation, assignment, deposit arrangement, security interest, lien (statutory or otherwise), charge, easement (other than any easement not materially impairing usefulness or marketability), encumbrance, preference, priority or other security agreement or preferential arrangement of any kind or nature whatsoever on or with respect to such property or assets (including, without limitation, any sale and leaseback arrangement, conditional sale or other title retention agreement having substantially the same economic effect as any of the foregoing). </w:t>
      </w:r>
    </w:p>
    <w:p>
      <w:pPr>
        <w:pStyle w:val="TextBody"/>
        <w:bidi w:val="0"/>
        <w:spacing w:before="240" w:after="0"/>
        <w:jc w:val="left"/>
        <w:rPr/>
      </w:pPr>
      <w:r>
        <w:rPr/>
        <w:t>“</w:t>
      </w:r>
      <w:r>
        <w:rPr>
          <w:rFonts w:ascii="Times New Roman" w:hAnsi="Times New Roman"/>
          <w:i/>
          <w:sz w:val="20"/>
        </w:rPr>
        <w:t>Limited Condition Transaction</w:t>
      </w:r>
      <w:r>
        <w:rPr>
          <w:rFonts w:ascii="Times New Roman" w:hAnsi="Times New Roman"/>
          <w:sz w:val="20"/>
        </w:rPr>
        <w:t xml:space="preserve">” means any Investment or acquisition (whether by merger, consolidation or otherwise), whose consummation is not conditioned on the availability of, or on obtaining, third-party financing.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 Inc. and its successors. </w:t>
      </w:r>
    </w:p>
    <w:p>
      <w:pPr>
        <w:pStyle w:val="TextBody"/>
        <w:bidi w:val="0"/>
        <w:spacing w:before="240" w:after="0"/>
        <w:jc w:val="left"/>
        <w:rPr/>
      </w:pPr>
      <w:r>
        <w:rPr/>
        <w:t>“</w:t>
      </w:r>
      <w:r>
        <w:rPr>
          <w:rFonts w:ascii="Times New Roman" w:hAnsi="Times New Roman"/>
          <w:i/>
          <w:sz w:val="20"/>
        </w:rPr>
        <w:t>Net Available Proceeds</w:t>
      </w:r>
      <w:r>
        <w:rPr>
          <w:rFonts w:ascii="Times New Roman" w:hAnsi="Times New Roman"/>
          <w:sz w:val="20"/>
        </w:rPr>
        <w:t xml:space="preserve">” from any Asset Disposition by any Person means cash or Cash Equivalents received (including by way of sale or discounting of a note, installment receivable or other receivable, but excluding any other consideration received in the form of assumption by the acquirer of Debt or other obligations relating to such properties or assets) therefrom by such Person, net of: </w:t>
      </w:r>
    </w:p>
    <w:p>
      <w:pPr>
        <w:pStyle w:val="TextBody"/>
        <w:bidi w:val="0"/>
        <w:spacing w:before="120" w:after="0"/>
        <w:jc w:val="left"/>
        <w:rPr>
          <w:rFonts w:ascii="Times New Roman" w:hAnsi="Times New Roman"/>
          <w:sz w:val="20"/>
        </w:rPr>
      </w:pPr>
      <w:r>
        <w:rPr>
          <w:rFonts w:ascii="Times New Roman" w:hAnsi="Times New Roman"/>
          <w:sz w:val="20"/>
        </w:rPr>
        <w:t xml:space="preserve">(1) all legal, title and recording tax expenses, commissions and other fees and expenses Incurred and all federal, state, foreign and local taxes required to be accrued as a liability as a consequence of such Asset Disposition;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all payments made by such Person or its Restricted Subsidiaries on any Debt which is secured by such assets in accordance with the terms of any Lien upon, or with respect to, such assets or which must by the terms of such Lien, or in order to obtain a necessary consent to such Asset Disposition or by applicable law, be repaid out of the proceeds from such Asset Disposition; </w:t>
      </w:r>
    </w:p>
    <w:p>
      <w:pPr>
        <w:pStyle w:val="TextBody"/>
        <w:bidi w:val="0"/>
        <w:spacing w:before="120" w:after="0"/>
        <w:jc w:val="left"/>
        <w:rPr>
          <w:rFonts w:ascii="Times New Roman" w:hAnsi="Times New Roman"/>
          <w:sz w:val="20"/>
        </w:rPr>
      </w:pPr>
      <w:r>
        <w:rPr>
          <w:rFonts w:ascii="Times New Roman" w:hAnsi="Times New Roman"/>
          <w:sz w:val="20"/>
        </w:rPr>
        <w:t xml:space="preserve">(3) all distributions and other payments made to minority interest holders in Restricted Subsidiaries of such Person or joint ventures as a result of such Asset Disposition; and </w:t>
      </w:r>
    </w:p>
    <w:p>
      <w:pPr>
        <w:pStyle w:val="TextBody"/>
        <w:bidi w:val="0"/>
        <w:spacing w:before="120" w:after="0"/>
        <w:jc w:val="left"/>
        <w:rPr>
          <w:rFonts w:ascii="Times New Roman" w:hAnsi="Times New Roman"/>
          <w:sz w:val="20"/>
        </w:rPr>
      </w:pPr>
      <w:r>
        <w:rPr>
          <w:rFonts w:ascii="Times New Roman" w:hAnsi="Times New Roman"/>
          <w:sz w:val="20"/>
        </w:rPr>
        <w:t xml:space="preserve">(4) appropriate amounts to be provided by such Person or any Restricted Subsidiary thereof, as the case may be, as a reserve in accordance with GAAP against any liabilities associated with such assets and retained by such Person or any Restricted Subsidiary thereof, as the case may be, after such Asset Disposition, including, without limitation, liabilities under any indemnification obligations and severance and other employee termination costs associated with such Asset Disposition, in each case as determined in good faith by senior management of the Issuer. </w:t>
      </w:r>
    </w:p>
    <w:p>
      <w:pPr>
        <w:pStyle w:val="TextBody"/>
        <w:bidi w:val="0"/>
        <w:spacing w:before="240" w:after="0"/>
        <w:jc w:val="left"/>
        <w:rPr/>
      </w:pPr>
      <w:r>
        <w:rPr/>
        <w:t>“</w:t>
      </w:r>
      <w:r>
        <w:rPr>
          <w:rFonts w:ascii="Times New Roman" w:hAnsi="Times New Roman"/>
          <w:i/>
          <w:sz w:val="20"/>
        </w:rPr>
        <w:t>New ABL Credit Agreement</w:t>
      </w:r>
      <w:r>
        <w:rPr>
          <w:rFonts w:ascii="Times New Roman" w:hAnsi="Times New Roman"/>
          <w:sz w:val="20"/>
        </w:rPr>
        <w:t xml:space="preserve">” means the credit agreement, dated as of July 30, 2026, among the Issuer, Newell Brands Ireland Services DAC, the subsidiary guarantors from time to time party thereto, the lenders from time to time party thereto and JPMorgan Chase Bank, N.A., as administrative agent (which credit agreement refunded, refinanced and replaced the Third Amended and Restated Credit Agreement, dated as of August 31, 2022, as supplemented, amended and modified from time to time thereafter, among the Issuer, the subsidiary borrowers party thereto, the guarantors party thereto, the lenders party thereto and JPMorgan Chase Bank, N.A., as administrative agent), and any amendment, amendment and restatement, modification, renewal, extension, refinancing, refunding or replacement of such New ABL Credit Agreement in one or more agreements. </w:t>
      </w:r>
    </w:p>
    <w:p>
      <w:pPr>
        <w:pStyle w:val="TextBody"/>
        <w:bidi w:val="0"/>
        <w:spacing w:before="240" w:after="0"/>
        <w:jc w:val="left"/>
        <w:rPr/>
      </w:pPr>
      <w:r>
        <w:rPr/>
        <w:t>“</w:t>
      </w:r>
      <w:r>
        <w:rPr>
          <w:rFonts w:ascii="Times New Roman" w:hAnsi="Times New Roman"/>
          <w:i/>
          <w:sz w:val="20"/>
        </w:rPr>
        <w:t>New ABL Credit Facility</w:t>
      </w:r>
      <w:r>
        <w:rPr>
          <w:rFonts w:ascii="Times New Roman" w:hAnsi="Times New Roman"/>
          <w:sz w:val="20"/>
        </w:rPr>
        <w:t xml:space="preserve">” means the Issuer’s revolving credit facility pursuant to the New ABL Credit Agreement and any amendment, amendment and restatement, modification, renewal, extension, refinancing, refunding or replacement thereof. </w:t>
      </w:r>
    </w:p>
    <w:p>
      <w:pPr>
        <w:pStyle w:val="TextBody"/>
        <w:bidi w:val="0"/>
        <w:spacing w:before="240" w:after="0"/>
        <w:jc w:val="left"/>
        <w:rPr/>
      </w:pPr>
      <w:r>
        <w:rPr/>
        <w:t>“</w:t>
      </w:r>
      <w:r>
        <w:rPr>
          <w:rFonts w:ascii="Times New Roman" w:hAnsi="Times New Roman"/>
          <w:i/>
          <w:sz w:val="20"/>
        </w:rPr>
        <w:t>Note Custodian</w:t>
      </w:r>
      <w:r>
        <w:rPr>
          <w:rFonts w:ascii="Times New Roman" w:hAnsi="Times New Roman"/>
          <w:sz w:val="20"/>
        </w:rPr>
        <w:t xml:space="preserve">” means the Person appointed as custodian for the Depositary with respect to the Global Notes, or any successor entity thereto. </w:t>
      </w:r>
    </w:p>
    <w:p>
      <w:pPr>
        <w:pStyle w:val="TextBody"/>
        <w:bidi w:val="0"/>
        <w:spacing w:before="240" w:after="0"/>
        <w:jc w:val="left"/>
        <w:rPr/>
      </w:pPr>
      <w:r>
        <w:rPr/>
        <w:t>“</w:t>
      </w:r>
      <w:r>
        <w:rPr>
          <w:rFonts w:ascii="Times New Roman" w:hAnsi="Times New Roman"/>
          <w:i/>
          <w:sz w:val="20"/>
        </w:rPr>
        <w:t>Notes</w:t>
      </w:r>
      <w:r>
        <w:rPr>
          <w:rFonts w:ascii="Times New Roman" w:hAnsi="Times New Roman"/>
          <w:sz w:val="20"/>
        </w:rPr>
        <w:t xml:space="preserve">” means the Initial Notes and any Additional Notes. The Initial Notes and the Additional Notes, if any, shall be treated as a single class for all purposes under this Indenture. </w:t>
      </w:r>
    </w:p>
    <w:p>
      <w:pPr>
        <w:pStyle w:val="TextBody"/>
        <w:bidi w:val="0"/>
        <w:spacing w:before="240" w:after="0"/>
        <w:jc w:val="left"/>
        <w:rPr/>
      </w:pPr>
      <w:r>
        <w:rPr/>
        <w:t>“</w:t>
      </w:r>
      <w:r>
        <w:rPr>
          <w:rFonts w:ascii="Times New Roman" w:hAnsi="Times New Roman"/>
          <w:i/>
          <w:sz w:val="20"/>
        </w:rPr>
        <w:t>Offering Memorandum</w:t>
      </w:r>
      <w:r>
        <w:rPr>
          <w:rFonts w:ascii="Times New Roman" w:hAnsi="Times New Roman"/>
          <w:sz w:val="20"/>
        </w:rPr>
        <w:t xml:space="preserve">” means the Issuer’s offering memorandum, dated August 5, 2026, relating to the offer and sale of the Initial Notes. </w:t>
      </w:r>
    </w:p>
    <w:p>
      <w:pPr>
        <w:pStyle w:val="TextBody"/>
        <w:bidi w:val="0"/>
        <w:spacing w:before="240" w:after="0"/>
        <w:jc w:val="left"/>
        <w:rPr/>
      </w:pPr>
      <w:r>
        <w:rPr/>
        <w:t>“</w:t>
      </w:r>
      <w:r>
        <w:rPr>
          <w:rFonts w:ascii="Times New Roman" w:hAnsi="Times New Roman"/>
          <w:i/>
          <w:sz w:val="20"/>
        </w:rPr>
        <w:t>Officer</w:t>
      </w:r>
      <w:r>
        <w:rPr>
          <w:rFonts w:ascii="Times New Roman" w:hAnsi="Times New Roman"/>
          <w:sz w:val="20"/>
        </w:rPr>
        <w:t xml:space="preserve">” means any of the following of the Issuer or any Subsidiary Guarantor: the Chairman of the Board of Directors, the Chief Executive Officer, the Chief Financial Officer, the President, any Vice President, the Treasurer, Assistant Treasurer, the Secretary or Assistant Secretary (or, with respect to a Subsidiary Guarantor, any member, trustee or general partner authorized to act on behalf of such Subsidiary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Officer’s Certificate</w:t>
      </w:r>
      <w:r>
        <w:rPr>
          <w:rFonts w:ascii="Times New Roman" w:hAnsi="Times New Roman"/>
          <w:sz w:val="20"/>
        </w:rPr>
        <w:t xml:space="preserve">” means a certificate signed by one Officer that meets the requirements of Section 11.3 of this Indenture. </w:t>
      </w:r>
    </w:p>
    <w:p>
      <w:pPr>
        <w:pStyle w:val="TextBody"/>
        <w:bidi w:val="0"/>
        <w:spacing w:before="240" w:after="0"/>
        <w:jc w:val="left"/>
        <w:rPr/>
      </w:pPr>
      <w:r>
        <w:rPr/>
        <w:t>“</w:t>
      </w:r>
      <w:r>
        <w:rPr>
          <w:rFonts w:ascii="Times New Roman" w:hAnsi="Times New Roman"/>
          <w:i/>
          <w:sz w:val="20"/>
        </w:rPr>
        <w:t>Opinion of Counsel</w:t>
      </w:r>
      <w:r>
        <w:rPr>
          <w:rFonts w:ascii="Times New Roman" w:hAnsi="Times New Roman"/>
          <w:sz w:val="20"/>
        </w:rPr>
        <w:t xml:space="preserve">” means a written opinion from legal counsel reasonably acceptable to the Trustee. The counsel may be an employee of, or counsel to, the Issuer or the Trustee. </w:t>
      </w:r>
    </w:p>
    <w:p>
      <w:pPr>
        <w:pStyle w:val="TextBody"/>
        <w:bidi w:val="0"/>
        <w:spacing w:before="240" w:after="0"/>
        <w:jc w:val="left"/>
        <w:rPr/>
      </w:pPr>
      <w:r>
        <w:rPr/>
        <w:t>“</w:t>
      </w:r>
      <w:r>
        <w:rPr>
          <w:rFonts w:ascii="Times New Roman" w:hAnsi="Times New Roman"/>
          <w:i/>
          <w:sz w:val="20"/>
        </w:rPr>
        <w:t xml:space="preserve">Pari Passu Debt” </w:t>
      </w:r>
      <w:r>
        <w:rPr>
          <w:rFonts w:ascii="Times New Roman" w:hAnsi="Times New Roman"/>
          <w:sz w:val="20"/>
        </w:rPr>
        <w:t xml:space="preserve">means Debt of the Issuer or a Subsidiary Guarantor that is </w:t>
      </w:r>
      <w:r>
        <w:rPr>
          <w:rFonts w:ascii="Times New Roman" w:hAnsi="Times New Roman"/>
          <w:i/>
          <w:sz w:val="20"/>
        </w:rPr>
        <w:t>pari passu</w:t>
      </w:r>
      <w:r>
        <w:rPr>
          <w:rFonts w:ascii="Times New Roman" w:hAnsi="Times New Roman"/>
          <w:sz w:val="20"/>
        </w:rPr>
        <w:t xml:space="preserve"> in right of payment with the Notes, in the case of the Issuer or any Subsidiary Guarantee, in the case of any Subsidiary Guarantor. For the purposes of this definition, no Debt will be considered to be senior or junior by virtue of being secured on a first or junior priority basis. </w:t>
      </w:r>
    </w:p>
    <w:p>
      <w:pPr>
        <w:pStyle w:val="TextBody"/>
        <w:bidi w:val="0"/>
        <w:spacing w:before="240" w:after="0"/>
        <w:jc w:val="left"/>
        <w:rPr/>
      </w:pPr>
      <w:r>
        <w:rPr/>
        <w:t>“</w:t>
      </w:r>
      <w:r>
        <w:rPr>
          <w:rFonts w:ascii="Times New Roman" w:hAnsi="Times New Roman"/>
          <w:i/>
          <w:sz w:val="20"/>
        </w:rPr>
        <w:t>Participant</w:t>
      </w:r>
      <w:r>
        <w:rPr>
          <w:rFonts w:ascii="Times New Roman" w:hAnsi="Times New Roman"/>
          <w:sz w:val="20"/>
        </w:rPr>
        <w:t xml:space="preserve">” means, with respect to the Depositary, a Person who has an account with the Depositary. </w:t>
      </w:r>
    </w:p>
    <w:p>
      <w:pPr>
        <w:pStyle w:val="TextBody"/>
        <w:bidi w:val="0"/>
        <w:spacing w:before="240" w:after="0"/>
        <w:jc w:val="left"/>
        <w:rPr/>
      </w:pPr>
      <w:r>
        <w:rPr/>
        <w:t>“</w:t>
      </w:r>
      <w:r>
        <w:rPr>
          <w:rFonts w:ascii="Times New Roman" w:hAnsi="Times New Roman"/>
          <w:i/>
          <w:sz w:val="20"/>
        </w:rPr>
        <w:t>Paying Agent</w:t>
      </w:r>
      <w:r>
        <w:rPr>
          <w:rFonts w:ascii="Times New Roman" w:hAnsi="Times New Roman"/>
          <w:sz w:val="20"/>
        </w:rPr>
        <w:t xml:space="preserve">” means any Person authorized by the Issuer to pay the principal of, premium, if any, or interest on any Notes on behalf of the Issuer. </w:t>
      </w:r>
    </w:p>
    <w:p>
      <w:pPr>
        <w:pStyle w:val="TextBody"/>
        <w:bidi w:val="0"/>
        <w:spacing w:before="240" w:after="0"/>
        <w:jc w:val="left"/>
        <w:rPr/>
      </w:pPr>
      <w:r>
        <w:rPr/>
        <w:t>“</w:t>
      </w:r>
      <w:r>
        <w:rPr>
          <w:rFonts w:ascii="Times New Roman" w:hAnsi="Times New Roman"/>
          <w:i/>
          <w:sz w:val="20"/>
        </w:rPr>
        <w:t>Permitted Acquisition Debt</w:t>
      </w:r>
      <w:r>
        <w:rPr>
          <w:rFonts w:ascii="Times New Roman" w:hAnsi="Times New Roman"/>
          <w:sz w:val="20"/>
        </w:rPr>
        <w:t xml:space="preserve">” means Debt of the Issuer or any of the Restricted Subsidiaries to the extent that: </w:t>
      </w:r>
    </w:p>
    <w:p>
      <w:pPr>
        <w:pStyle w:val="TextBody"/>
        <w:bidi w:val="0"/>
        <w:spacing w:before="120" w:after="0"/>
        <w:jc w:val="left"/>
        <w:rPr>
          <w:rFonts w:ascii="Times New Roman" w:hAnsi="Times New Roman"/>
          <w:sz w:val="20"/>
        </w:rPr>
      </w:pPr>
      <w:r>
        <w:rPr>
          <w:rFonts w:ascii="Times New Roman" w:hAnsi="Times New Roman"/>
          <w:sz w:val="20"/>
        </w:rPr>
        <w:t xml:space="preserve">(1) such Debt consists of Debt of an acquired Person that was outstanding prior to the date on which such Person became a Restricted Subsidiary as a result of having been acquired by the Issuer or a Restricted Subsidiary and any Debt Incurred, including by the Issuer or any Restricted Subsidiary, in contemplation of such acquisition or the acquisition of the assets or business of such Person by the Issuer or a Restricted Subsidiary; or </w:t>
      </w:r>
    </w:p>
    <w:p>
      <w:pPr>
        <w:pStyle w:val="TextBody"/>
        <w:bidi w:val="0"/>
        <w:spacing w:before="120" w:after="0"/>
        <w:jc w:val="left"/>
        <w:rPr>
          <w:rFonts w:ascii="Times New Roman" w:hAnsi="Times New Roman"/>
          <w:sz w:val="20"/>
        </w:rPr>
      </w:pPr>
      <w:r>
        <w:rPr>
          <w:rFonts w:ascii="Times New Roman" w:hAnsi="Times New Roman"/>
          <w:sz w:val="20"/>
        </w:rPr>
        <w:t xml:space="preserve">(2) such Debt consists of Debt of a Person that was outstanding prior to the date on which such Person was merged, consolidated or amalgamated with or into the Issuer or a Restricted Subsidiary and any Debt Incurred, including by the Issuer or any Restricted Subsidiary, in contemplation of such merger, consolidation or amalgamation;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each case, (x) such Debt consists of Debt of the Issuer or a Subsidiary Guarantor, and the Issuer would be permitted to Incur at least $1.00 of additional Debt (other than Permitted Debt) pursuant to Section 4.9(a), (y) such Debt consists of Debt of the Issuer or a Subsidiary Guarantor, and the Consolidated Fixed Charge Coverage Ratio of the Issuer would be not less than the Consolidated Fixed Charge Coverage Ratio of the Issuer immediately prior to giving effect to such transaction or (z) if such Incurrence would not satisfy clause (x) or (y), the aggregate principal amount of Permitted Acquisition Debt Incurred by the Issuer and its Restricted Subsidiaries outstanding at any one time under this clause (z) shall not exceed the greater of (i) $350.0 million and (ii) 3.0% of Consolidated Total Assets determined at the time of Incurrence. </w:t>
      </w:r>
    </w:p>
    <w:p>
      <w:pPr>
        <w:pStyle w:val="TextBody"/>
        <w:bidi w:val="0"/>
        <w:spacing w:before="240" w:after="0"/>
        <w:jc w:val="left"/>
        <w:rPr/>
      </w:pPr>
      <w:r>
        <w:rPr/>
        <w:t>“</w:t>
      </w:r>
      <w:r>
        <w:rPr>
          <w:rFonts w:ascii="Times New Roman" w:hAnsi="Times New Roman"/>
          <w:i/>
          <w:sz w:val="20"/>
        </w:rPr>
        <w:t>Permitted Cash Management Services Agreement</w:t>
      </w:r>
      <w:r>
        <w:rPr>
          <w:rFonts w:ascii="Times New Roman" w:hAnsi="Times New Roman"/>
          <w:sz w:val="20"/>
        </w:rPr>
        <w:t xml:space="preserve">” of any Person means (i) any agreement or arrangement entered into in the ordinary course of business in respect of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stop payment services and wire transfer services and (ii) any agreement under which any bank, financial institution or other Person may from time to time provide any financial accommodation to any of the Issuer or any Restricted Subsidiary in connection with trade payables of the Issuer or any Restricted Subsidiary (including the acquisition of the receivables corresponding to such trade payables pursuant to “supply chain” or other similar financings). </w:t>
      </w:r>
    </w:p>
    <w:p>
      <w:pPr>
        <w:pStyle w:val="TextBody"/>
        <w:bidi w:val="0"/>
        <w:spacing w:before="240" w:after="0"/>
        <w:jc w:val="left"/>
        <w:rPr/>
      </w:pPr>
      <w:r>
        <w:rPr/>
        <w:t>“</w:t>
      </w:r>
      <w:r>
        <w:rPr>
          <w:rFonts w:ascii="Times New Roman" w:hAnsi="Times New Roman"/>
          <w:i/>
          <w:sz w:val="20"/>
        </w:rPr>
        <w:t>Permitted Interest Rate, Currency or Commodity Price Agreement</w:t>
      </w:r>
      <w:r>
        <w:rPr>
          <w:rFonts w:ascii="Times New Roman" w:hAnsi="Times New Roman"/>
          <w:sz w:val="20"/>
        </w:rPr>
        <w:t xml:space="preserve">” of any Person means any Interest Rate, Currency or Commodity Price Agreement entered into with one or more financial institutions (or, in the case of commodity protection agreement, utilities) in the ordinary course of business that is designed to protect such Person against fluctuations in interest rates, currency exchange rates or commodity prices with respect to Debt Incurred or proposed to be Incurred and which shall have a notional amount no greater than the payments due with respect to the Debt being hedged thereby, or in the case of currency or commodity protection agreements, against currency exchange rate or commodity price fluctuations and, in each case, not for purposes of speculation. </w:t>
      </w:r>
    </w:p>
    <w:p>
      <w:pPr>
        <w:pStyle w:val="TextBody"/>
        <w:bidi w:val="0"/>
        <w:spacing w:before="240" w:after="0"/>
        <w:jc w:val="left"/>
        <w:rPr/>
      </w:pPr>
      <w:r>
        <w:rPr/>
        <w:t>“</w:t>
      </w:r>
      <w:r>
        <w:rPr>
          <w:rFonts w:ascii="Times New Roman" w:hAnsi="Times New Roman"/>
          <w:i/>
          <w:sz w:val="20"/>
        </w:rPr>
        <w:t>Permitted Investments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any Investment in (x) the Issuer or a Restricted Subsidiary or (y) a Person that will become or be merged into or consolidated with the Issuer or a Restricted Subsidiary or transfers or conveys all or substantially all its assets to the Issuer or a Restricted Subsidiary as a result of such Investment, and any Investment held by a Person at the time of such acquisition by, merger or consolidation with or transfer to the Issuer or a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(2) any Investment in cash and Cash Equivalents or Permitted Interest Rate, Currency or Commodity Price Agreements; </w:t>
      </w:r>
    </w:p>
    <w:p>
      <w:pPr>
        <w:pStyle w:val="TextBody"/>
        <w:bidi w:val="0"/>
        <w:spacing w:before="120" w:after="0"/>
        <w:jc w:val="left"/>
        <w:rPr>
          <w:rFonts w:ascii="Times New Roman" w:hAnsi="Times New Roman"/>
          <w:sz w:val="20"/>
        </w:rPr>
      </w:pPr>
      <w:r>
        <w:rPr>
          <w:rFonts w:ascii="Times New Roman" w:hAnsi="Times New Roman"/>
          <w:sz w:val="20"/>
        </w:rPr>
        <w:t xml:space="preserve">(3) any non-cash consideration received in connection with an Asset Disposition (or a disposition excluded from the definition of “Asset Disposition”) that was made in compliance with Section 4.10; </w:t>
      </w:r>
    </w:p>
    <w:p>
      <w:pPr>
        <w:pStyle w:val="TextBody"/>
        <w:bidi w:val="0"/>
        <w:spacing w:before="120" w:after="0"/>
        <w:jc w:val="left"/>
        <w:rPr>
          <w:rFonts w:ascii="Times New Roman" w:hAnsi="Times New Roman"/>
          <w:sz w:val="20"/>
        </w:rPr>
      </w:pPr>
      <w:r>
        <w:rPr>
          <w:rFonts w:ascii="Times New Roman" w:hAnsi="Times New Roman"/>
          <w:sz w:val="20"/>
        </w:rPr>
        <w:t>(4) loans or advances to officers, directors, consultants and employees of the Issuer and its Restricted Subsidiaries (i) for reasonable and customary business-related travel, entertainment, relocation and analogous ordinary business purposes or (ii) in connection with such Person’s purchase of equity interests of the Issuer (</w:t>
      </w:r>
      <w:r>
        <w:rPr>
          <w:rFonts w:ascii="Times New Roman" w:hAnsi="Times New Roman"/>
          <w:sz w:val="20"/>
          <w:u w:val="single"/>
        </w:rPr>
        <w:t>provided</w:t>
      </w:r>
      <w:r>
        <w:rPr>
          <w:rFonts w:ascii="Times New Roman" w:hAnsi="Times New Roman"/>
          <w:sz w:val="20"/>
        </w:rPr>
        <w:t xml:space="preserve"> that the amount of such loans and advances shall be contributed to the Issuer in cash as common equity); </w:t>
      </w:r>
    </w:p>
    <w:p>
      <w:pPr>
        <w:pStyle w:val="TextBody"/>
        <w:bidi w:val="0"/>
        <w:spacing w:before="120" w:after="0"/>
        <w:jc w:val="left"/>
        <w:rPr>
          <w:rFonts w:ascii="Times New Roman" w:hAnsi="Times New Roman"/>
          <w:sz w:val="20"/>
        </w:rPr>
      </w:pPr>
      <w:r>
        <w:rPr>
          <w:rFonts w:ascii="Times New Roman" w:hAnsi="Times New Roman"/>
          <w:sz w:val="20"/>
        </w:rPr>
        <w:t xml:space="preserve">(5) Guarantees of Debt made in compliance with Section 4.9; </w:t>
      </w:r>
    </w:p>
    <w:p>
      <w:pPr>
        <w:pStyle w:val="TextBody"/>
        <w:bidi w:val="0"/>
        <w:spacing w:before="120" w:after="0"/>
        <w:jc w:val="left"/>
        <w:rPr>
          <w:rFonts w:ascii="Times New Roman" w:hAnsi="Times New Roman"/>
          <w:sz w:val="20"/>
        </w:rPr>
      </w:pPr>
      <w:r>
        <w:rPr>
          <w:rFonts w:ascii="Times New Roman" w:hAnsi="Times New Roman"/>
          <w:sz w:val="20"/>
        </w:rPr>
        <w:t xml:space="preserve">(6) any Investment existing on the Issue Date or made pursuant to binding commitments in effect on the Issue Date or an Investment consisting of any extension, modification or renewal of any Investment existing on the Issue Date; </w:t>
      </w:r>
      <w:r>
        <w:rPr>
          <w:rFonts w:ascii="Times New Roman" w:hAnsi="Times New Roman"/>
          <w:sz w:val="20"/>
          <w:u w:val="single"/>
        </w:rPr>
        <w:t>provided</w:t>
      </w:r>
      <w:r>
        <w:rPr>
          <w:rFonts w:ascii="Times New Roman" w:hAnsi="Times New Roman"/>
          <w:sz w:val="20"/>
        </w:rPr>
        <w:t xml:space="preserve"> that the amount of any such Investment may only be increased pursuant to this clause (6) to the extent required by the terms of such Investment as in existence on the Issue Date or as otherwise permitted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Investments acquired with the net cash proceeds received by the Issuer after the Issue Date from the issuance and sale of Capital Stock (other than Redeemable Stock) or made in exchange for Capital Stock (other than Redeemable Stock or Preferred Stock); </w:t>
      </w:r>
      <w:r>
        <w:rPr>
          <w:rFonts w:ascii="Times New Roman" w:hAnsi="Times New Roman"/>
          <w:sz w:val="20"/>
          <w:u w:val="single"/>
        </w:rPr>
        <w:t>provided</w:t>
      </w:r>
      <w:r>
        <w:rPr>
          <w:rFonts w:ascii="Times New Roman" w:hAnsi="Times New Roman"/>
          <w:sz w:val="20"/>
        </w:rPr>
        <w:t xml:space="preserve"> that such net cash proceeds are used to make such Investment within 90 days of the receipt thereof and the amount of all such net cash proceeds so used will be excluded from clause (iii)(2) of Section 4.7(a); </w:t>
      </w:r>
    </w:p>
    <w:p>
      <w:pPr>
        <w:pStyle w:val="TextBody"/>
        <w:bidi w:val="0"/>
        <w:spacing w:before="120" w:after="0"/>
        <w:jc w:val="left"/>
        <w:rPr>
          <w:rFonts w:ascii="Times New Roman" w:hAnsi="Times New Roman"/>
          <w:sz w:val="20"/>
        </w:rPr>
      </w:pPr>
      <w:r>
        <w:rPr>
          <w:rFonts w:ascii="Times New Roman" w:hAnsi="Times New Roman"/>
          <w:sz w:val="20"/>
        </w:rPr>
        <w:t xml:space="preserve">(8) any Investment that, when taken together with all other Investments made pursuant to this clause (8) since the Issue Date and outstanding on the date such Investment is made, does not exceed the greater of (x) $600.0 million and (y) 5.0% of Consolidated Total Assets (plus the aggregate returns of such Investments); </w:t>
      </w:r>
    </w:p>
    <w:p>
      <w:pPr>
        <w:pStyle w:val="TextBody"/>
        <w:bidi w:val="0"/>
        <w:spacing w:before="120" w:after="0"/>
        <w:jc w:val="left"/>
        <w:rPr>
          <w:rFonts w:ascii="Times New Roman" w:hAnsi="Times New Roman"/>
          <w:sz w:val="20"/>
        </w:rPr>
      </w:pPr>
      <w:r>
        <w:rPr>
          <w:rFonts w:ascii="Times New Roman" w:hAnsi="Times New Roman"/>
          <w:sz w:val="20"/>
        </w:rPr>
        <w:t xml:space="preserve">(9) any acquisition of franchise and related rights, including any related property, from franchisees of the Issuer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(10) Investments (including debt obligations and equity interests) made in connection with the bankruptcy or reorganization of suppliers, customers or franchisees or in settlement of delinquent obligations of, or other disputes with, customers, suppliers or franchisees arising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(11) advances, loans, rebates and extensions of credit (including the creation of receivables) to suppliers, customers and vendors, and performance guarantees,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(12) Investments in joint ventures or Unrestricted Subsidiaries made after the Issue Date which, together with any other outstanding Investment made pursuant to this clause (12), do not exceed the greater of (x) $350.0 million and (y) 3.0% of Consolidated Total Assets at the time of such Investment;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Investment pursuant to this clause (12) is made in any Person that is not a Restricted Subsidiary at the date of the making of such Investment and such Person becomes a Restricted Subsidiary after such date, such Investment shall thereafter be deemed to have been made pursuant to clause (1) above and shall cease to have been made pursuant to this clause (12) for so long as such Person continues to be a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(13) Investments in the ordinary course of business consisting of Article 3 of the Uniform Commercial Code endorsements for collection or deposit and Article 4 of the Uniform Commercial Code customary trade arrangements with customers consistent with past practices; </w:t>
      </w:r>
    </w:p>
    <w:p>
      <w:pPr>
        <w:pStyle w:val="TextBody"/>
        <w:bidi w:val="0"/>
        <w:spacing w:before="120" w:after="0"/>
        <w:jc w:val="left"/>
        <w:rPr>
          <w:rFonts w:ascii="Times New Roman" w:hAnsi="Times New Roman"/>
          <w:sz w:val="20"/>
        </w:rPr>
      </w:pPr>
      <w:r>
        <w:rPr>
          <w:rFonts w:ascii="Times New Roman" w:hAnsi="Times New Roman"/>
          <w:sz w:val="20"/>
        </w:rPr>
        <w:t xml:space="preserve">(14) advances of payroll payments to employees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(15) Investments consisting of licensing of intellectual property pursuant to joint marketing arrangements with other Persons so long as such licensing arrangements are made in the ordinary course of business and are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(16) any Investment made by the Issuer and Restricted Subsidiaries relating to any intercompany restructuring and savings initiative or organizational realignment;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(17) guarantees of performance or other obligations (other than Debt) arising in the ordinary course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(18) any Investment; </w:t>
      </w:r>
      <w:r>
        <w:rPr>
          <w:rFonts w:ascii="Times New Roman" w:hAnsi="Times New Roman"/>
          <w:sz w:val="20"/>
          <w:u w:val="single"/>
        </w:rPr>
        <w:t>provided</w:t>
      </w:r>
      <w:r>
        <w:rPr>
          <w:rFonts w:ascii="Times New Roman" w:hAnsi="Times New Roman"/>
          <w:sz w:val="20"/>
        </w:rPr>
        <w:t xml:space="preserve"> that, immediately before and immediately after giving pro forma effect to the making of any such Investment and any Debt Incurred in connection therewith, (x) no Default or Event of Default shall have occurred and be continuing and (y) the Total Net Leverage Ratio of the Issuer would not exceed 5.00 to 1.00. </w:t>
      </w:r>
    </w:p>
    <w:p>
      <w:pPr>
        <w:pStyle w:val="TextBody"/>
        <w:bidi w:val="0"/>
        <w:spacing w:before="240" w:after="0"/>
        <w:jc w:val="left"/>
        <w:rPr/>
      </w:pPr>
      <w:r>
        <w:rPr/>
        <w:t>“</w:t>
      </w:r>
      <w:r>
        <w:rPr>
          <w:rFonts w:ascii="Times New Roman" w:hAnsi="Times New Roman"/>
          <w:i/>
          <w:sz w:val="20"/>
        </w:rPr>
        <w:t>Permitted Liens</w:t>
      </w:r>
      <w:r>
        <w:rPr>
          <w:rFonts w:ascii="Times New Roman" w:hAnsi="Times New Roman"/>
          <w:sz w:val="20"/>
        </w:rPr>
        <w:t xml:space="preserve">” means (for the avoidance of doubt, except for purposes of Section 4.13), with respect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(1) Liens securing Debt under Debt Facilities outstanding or Incurred under Section 4.9(b)(1); </w:t>
      </w:r>
      <w:r>
        <w:rPr>
          <w:rFonts w:ascii="Times New Roman" w:hAnsi="Times New Roman"/>
          <w:sz w:val="20"/>
          <w:u w:val="single"/>
        </w:rPr>
        <w:t>provided</w:t>
      </w:r>
      <w:r>
        <w:rPr>
          <w:rFonts w:ascii="Times New Roman" w:hAnsi="Times New Roman"/>
          <w:sz w:val="20"/>
        </w:rPr>
        <w:t xml:space="preserve"> that no such Lien shall be granted by a Restricted Subsidiary that is not a Subsidiary Guarantor to secure Debt Incurred under Section 4.9(b)(1) that could not have been Incurred by such Restricted Subsidiary under such clause; </w:t>
      </w:r>
    </w:p>
    <w:p>
      <w:pPr>
        <w:pStyle w:val="TextBody"/>
        <w:bidi w:val="0"/>
        <w:spacing w:before="120" w:after="0"/>
        <w:jc w:val="left"/>
        <w:rPr>
          <w:rFonts w:ascii="Times New Roman" w:hAnsi="Times New Roman"/>
          <w:sz w:val="20"/>
        </w:rPr>
      </w:pPr>
      <w:r>
        <w:rPr>
          <w:rFonts w:ascii="Times New Roman" w:hAnsi="Times New Roman"/>
          <w:sz w:val="20"/>
        </w:rPr>
        <w:t xml:space="preserve">(2) Liens securing any Debt which became Debt pursuant to a transaction permitted under Section 5.1 or securing Debt which was created prior to (and not created in connection with, or in contemplation of) the Incurrence of such Debt (including any assumption, guarantee or other liability with respect thereto by any Restricted Subsidiary) and which Debt is permitted under the provisions of Section 4.9 and solely relate to the assets that previously secured such Debt;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Liens shall not extend to any other property owned by the Issuer or any Restricted Subsidiary (other than improvements, accessions, proceeds or dividends or distributions in respect of the assets or property securing such Debt); </w:t>
      </w:r>
    </w:p>
    <w:p>
      <w:pPr>
        <w:pStyle w:val="TextBody"/>
        <w:bidi w:val="0"/>
        <w:spacing w:before="120" w:after="0"/>
        <w:jc w:val="left"/>
        <w:rPr>
          <w:rFonts w:ascii="Times New Roman" w:hAnsi="Times New Roman"/>
          <w:sz w:val="20"/>
        </w:rPr>
      </w:pPr>
      <w:r>
        <w:rPr>
          <w:rFonts w:ascii="Times New Roman" w:hAnsi="Times New Roman"/>
          <w:sz w:val="20"/>
        </w:rPr>
        <w:t xml:space="preserve">(3) Liens imposed by law, including carriers’, warehousemen’s and mechanics’ Liens, in each case for sums not overdue by more than 90 days or being contested in good faith by appropriate proceedings if a reserve or other appropriate provisions, if any, as shall be required by GAAP shall have been made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(4) Liens for taxes, assessments or other governmental charges not yet delinquent or not yet subject to penalties for nonpayment or which are being contested in good faith by appropriate proceedings provided appropriate reserves required pursuant to GAAP have been made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(5) (i) Liens (including rights of setoff) granted in respect of collateral accounts, concentration accounts, deposit accounts or other funds maintained with a financial institution, bank or securities intermediary; </w:t>
      </w:r>
      <w:r>
        <w:rPr>
          <w:rFonts w:ascii="Times New Roman" w:hAnsi="Times New Roman"/>
          <w:sz w:val="20"/>
          <w:u w:val="single"/>
        </w:rPr>
        <w:t>provided</w:t>
      </w:r>
      <w:r>
        <w:rPr>
          <w:rFonts w:ascii="Times New Roman" w:hAnsi="Times New Roman"/>
          <w:sz w:val="20"/>
        </w:rPr>
        <w:t xml:space="preserve"> that such deposit account is not a dedicated cash collateral account and is not subject to restrictions against access by the account holder in excess of those set forth by regulations issued by the Federal Reserve Board; (ii) rights of set-off and recoupment against, together with Liens granted in respect of, credit balances and dedicated settlement and reserve accounts of the Issuer and its Restricted Subsidiaries with credit card issuers or credit card processors or amounts owing by such credit card issuers or credit card processors to the Issuer or any of its Restricted Subsidiaries in the ordinary course of business; and (iii) Liens granted to secure Permitted Cash Management Services Agreements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Liens on assets, property or shares of stock of a Person existing at the time such Person becomes a Restricted Subsidiary or is merged with or into or consolidated or amalgamated with the Issuer or any Restricted Subsidiary of the Issuer or such assets, property or shares of stock were acquired by the Issuer or any Restricted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Liens shall not extend to any other property owned by the Issuer or any Restricted Subsidiary (other than improvements, accessions, proceeds or dividends or distributions in respect of the assets, property or shares acquired); </w:t>
      </w:r>
    </w:p>
    <w:p>
      <w:pPr>
        <w:pStyle w:val="TextBody"/>
        <w:bidi w:val="0"/>
        <w:spacing w:before="120" w:after="0"/>
        <w:jc w:val="left"/>
        <w:rPr>
          <w:rFonts w:ascii="Times New Roman" w:hAnsi="Times New Roman"/>
          <w:sz w:val="20"/>
        </w:rPr>
      </w:pPr>
      <w:r>
        <w:rPr>
          <w:rFonts w:ascii="Times New Roman" w:hAnsi="Times New Roman"/>
          <w:sz w:val="20"/>
        </w:rPr>
        <w:t xml:space="preserve">(7) encumbrances, ground leases, easements or reservations of, or rights of others for, licenses, rights of way, sewers, electric lines, telegraph and telephone lines and other similar purposes, or zoning, building codes or other restrictions (including, without limitation, minor defects or irregularities in title and similar encumbrances) as to the use of real properties or liens incidental to the conduct of the business of such Person or to the ownership of its properties which do not in the aggregate materially adversely affect the value of said properties or materially impair their use in the operation of the business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(8) leases, licenses, subleases and sublicenses of assets (including, without limitation, real property and intellectual property rights) which do not materially interfere with the ordinary conduct of the business of the Issuer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(9) Liens existing on the Issue Date (plus improvements, accessions, proceeds or dividends or distributions in respect of the assets or property subject to such Liens) (other than Liens permitted under clause (1) of this definition); </w:t>
      </w:r>
    </w:p>
    <w:p>
      <w:pPr>
        <w:pStyle w:val="TextBody"/>
        <w:bidi w:val="0"/>
        <w:spacing w:before="120" w:after="0"/>
        <w:jc w:val="left"/>
        <w:rPr>
          <w:rFonts w:ascii="Times New Roman" w:hAnsi="Times New Roman"/>
          <w:sz w:val="20"/>
        </w:rPr>
      </w:pPr>
      <w:r>
        <w:rPr>
          <w:rFonts w:ascii="Times New Roman" w:hAnsi="Times New Roman"/>
          <w:sz w:val="20"/>
        </w:rPr>
        <w:t xml:space="preserve">(10) pledges or deposits by such Person under workmen’s compensation laws, unemployment insurance laws or similar legislation, or good faith deposits in connection with bids, tenders, contracts (other than for the payment of Debt) or leases to which such Person is a party, or deposits to secure public or statutory obligations of such Person or deposits of cash or United States government bonds to secure surety or appeal bonds to which such Person is a party, or deposits as security for contested taxes or import or customs duties or for the payment of rent, in each case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(11) judgment Liens not giving rise to an Event of Default so long as such Lien is adequately bonded and any appropriate legal proceedings which may have been duly initiated for the review of such judgment have not been finally terminated or the period within which such proceedings may be initiated has not expired; </w:t>
      </w:r>
    </w:p>
    <w:p>
      <w:pPr>
        <w:pStyle w:val="TextBody"/>
        <w:bidi w:val="0"/>
        <w:spacing w:before="120" w:after="0"/>
        <w:jc w:val="left"/>
        <w:rPr>
          <w:rFonts w:ascii="Times New Roman" w:hAnsi="Times New Roman"/>
          <w:sz w:val="20"/>
        </w:rPr>
      </w:pPr>
      <w:r>
        <w:rPr>
          <w:rFonts w:ascii="Times New Roman" w:hAnsi="Times New Roman"/>
          <w:sz w:val="20"/>
        </w:rPr>
        <w:t xml:space="preserve">(12) any encumbrance or restriction (including put and call arrangements) with respect to Capital Stock of any joint venture or similar arrangement pursuant to any joint venture or similar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Liens for the purpose of securing the payment of all or a part of the purchase price of, purchase money obligations or other payments Incurred to finance the acquisition, lease, improvement or construction of or repairs or additions to, assets or property acquired or constructed by the Issuer or a Restricted Subsidiary in the ordinary course of business; </w:t>
      </w:r>
      <w:r>
        <w:rPr>
          <w:rFonts w:ascii="Times New Roman" w:hAnsi="Times New Roman"/>
          <w:sz w:val="20"/>
          <w:u w:val="single"/>
        </w:rPr>
        <w:t>provided</w:t>
      </w:r>
      <w:r>
        <w:rPr>
          <w:rFonts w:ascii="Times New Roman" w:hAnsi="Times New Roman"/>
          <w:sz w:val="20"/>
        </w:rPr>
        <w:t xml:space="preserve"> that: (a) the aggregate principal amount of Debt secured by such Liens is otherwise permitted to be Incurred under this Indenture and does not exceed the cost of the assets or property so acquired or constructed; and (b) such Liens are created within 270 days of the later of the acquisition, lease, completion of improvements, construction, repairs or additions or commencement of full operation of the assets or property subject to such Lien and do not encumber any other assets or property of the Issuer or any Restricted Subsidiary other than such assets or property and assets affixed or appurtenant thereto; </w:t>
      </w:r>
      <w:r>
        <w:rPr>
          <w:rFonts w:ascii="Times New Roman" w:hAnsi="Times New Roman"/>
          <w:sz w:val="20"/>
          <w:u w:val="single"/>
        </w:rPr>
        <w:t>provided further</w:t>
      </w:r>
      <w:r>
        <w:rPr>
          <w:rFonts w:ascii="Times New Roman" w:hAnsi="Times New Roman"/>
          <w:sz w:val="20"/>
        </w:rPr>
        <w:t xml:space="preserve"> that individual financings of property provided by one lender may be cross collateralized to other financings of property provided by such lender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(14) any interest or title of a lessor under any Finance Lease Obligation incurred pursuant to Section 4.9(b)(6); </w:t>
      </w:r>
      <w:r>
        <w:rPr>
          <w:rFonts w:ascii="Times New Roman" w:hAnsi="Times New Roman"/>
          <w:sz w:val="20"/>
          <w:u w:val="single"/>
        </w:rPr>
        <w:t>provided</w:t>
      </w:r>
      <w:r>
        <w:rPr>
          <w:rFonts w:ascii="Times New Roman" w:hAnsi="Times New Roman"/>
          <w:sz w:val="20"/>
        </w:rPr>
        <w:t xml:space="preserve"> that such Liens do not extend to any property or assets which is not leased property subject to such Finance Lease Obligation; </w:t>
      </w:r>
      <w:r>
        <w:rPr>
          <w:rFonts w:ascii="Times New Roman" w:hAnsi="Times New Roman"/>
          <w:sz w:val="20"/>
          <w:u w:val="single"/>
        </w:rPr>
        <w:t>provided</w:t>
      </w:r>
      <w:r>
        <w:rPr>
          <w:rFonts w:ascii="Times New Roman" w:hAnsi="Times New Roman"/>
          <w:sz w:val="20"/>
        </w:rPr>
        <w:t xml:space="preserve"> that individual financings of property provided by one lender may be cross collateralized to other financings of property provided by such lender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(15) Liens upon specific items of inventory or other goods and proceeds of any Person securing such Person’s obligations in respect of letters of credit, bankers’ acceptances, bank guarantees and similar instruments issued or created for the account of such Person to facilitate the purchase, shipment or storage of such inventory or other goods; </w:t>
      </w:r>
    </w:p>
    <w:p>
      <w:pPr>
        <w:pStyle w:val="TextBody"/>
        <w:bidi w:val="0"/>
        <w:spacing w:before="120" w:after="0"/>
        <w:jc w:val="left"/>
        <w:rPr>
          <w:rFonts w:ascii="Times New Roman" w:hAnsi="Times New Roman"/>
          <w:sz w:val="20"/>
        </w:rPr>
      </w:pPr>
      <w:r>
        <w:rPr>
          <w:rFonts w:ascii="Times New Roman" w:hAnsi="Times New Roman"/>
          <w:sz w:val="20"/>
        </w:rPr>
        <w:t xml:space="preserve">(16) (i) Liens securing reimbursement obligations with respect to commercial letters of credit which encumber documents and other property relating to such letters of credit and products and proceeds thereof; and (ii) Liens granted in cash collateral (including any associated deposit or securities accounts) to secure obligations incurred in connection with the issuance of letters of credit, bank guarantees, bankers acceptances and similar instruments; </w:t>
      </w:r>
    </w:p>
    <w:p>
      <w:pPr>
        <w:pStyle w:val="TextBody"/>
        <w:bidi w:val="0"/>
        <w:spacing w:before="120" w:after="0"/>
        <w:jc w:val="left"/>
        <w:rPr>
          <w:rFonts w:ascii="Times New Roman" w:hAnsi="Times New Roman"/>
          <w:sz w:val="20"/>
        </w:rPr>
      </w:pPr>
      <w:r>
        <w:rPr>
          <w:rFonts w:ascii="Times New Roman" w:hAnsi="Times New Roman"/>
          <w:sz w:val="20"/>
        </w:rPr>
        <w:t xml:space="preserve">(17) Liens encumbering deposits made to secure obligations arising from statutory, regulatory, contractual, or warranty requirements of the Issuer or any of its Subsidiaries, including rights of offset and set-off; </w:t>
      </w:r>
    </w:p>
    <w:p>
      <w:pPr>
        <w:pStyle w:val="TextBody"/>
        <w:bidi w:val="0"/>
        <w:spacing w:before="120" w:after="0"/>
        <w:jc w:val="left"/>
        <w:rPr>
          <w:rFonts w:ascii="Times New Roman" w:hAnsi="Times New Roman"/>
          <w:sz w:val="20"/>
        </w:rPr>
      </w:pPr>
      <w:r>
        <w:rPr>
          <w:rFonts w:ascii="Times New Roman" w:hAnsi="Times New Roman"/>
          <w:sz w:val="20"/>
        </w:rPr>
        <w:t xml:space="preserve">(18) Liens securing Permitted Interest Rate, Currency or Commodity Price Agreements; </w:t>
      </w:r>
    </w:p>
    <w:p>
      <w:pPr>
        <w:pStyle w:val="TextBody"/>
        <w:bidi w:val="0"/>
        <w:spacing w:before="120" w:after="0"/>
        <w:jc w:val="left"/>
        <w:rPr>
          <w:rFonts w:ascii="Times New Roman" w:hAnsi="Times New Roman"/>
          <w:sz w:val="20"/>
        </w:rPr>
      </w:pPr>
      <w:r>
        <w:rPr>
          <w:rFonts w:ascii="Times New Roman" w:hAnsi="Times New Roman"/>
          <w:sz w:val="20"/>
        </w:rPr>
        <w:t xml:space="preserve">(19) Liens on assets of any Restricted Subsidiary that is not a Subsidiary Guarantor securing obligations not constituting Debt of such Subsidiary; </w:t>
      </w:r>
    </w:p>
    <w:p>
      <w:pPr>
        <w:pStyle w:val="TextBody"/>
        <w:bidi w:val="0"/>
        <w:spacing w:before="120" w:after="0"/>
        <w:jc w:val="left"/>
        <w:rPr>
          <w:rFonts w:ascii="Times New Roman" w:hAnsi="Times New Roman"/>
          <w:sz w:val="20"/>
        </w:rPr>
      </w:pPr>
      <w:r>
        <w:rPr>
          <w:rFonts w:ascii="Times New Roman" w:hAnsi="Times New Roman"/>
          <w:sz w:val="20"/>
        </w:rPr>
        <w:t xml:space="preserve">(20) Liens on cash, cash equivalents or other property arising in connection with the discharge or redemption of Debt; </w:t>
      </w:r>
    </w:p>
    <w:p>
      <w:pPr>
        <w:pStyle w:val="TextBody"/>
        <w:bidi w:val="0"/>
        <w:spacing w:before="120" w:after="0"/>
        <w:jc w:val="left"/>
        <w:rPr>
          <w:rFonts w:ascii="Times New Roman" w:hAnsi="Times New Roman"/>
          <w:sz w:val="20"/>
        </w:rPr>
      </w:pPr>
      <w:r>
        <w:rPr>
          <w:rFonts w:ascii="Times New Roman" w:hAnsi="Times New Roman"/>
          <w:sz w:val="20"/>
        </w:rPr>
        <w:t xml:space="preserve">(21) Liens on any real property constituting exceptions to title as set forth in a mortgage title policy delivered to a secured lender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(i) Liens on insurance policies and the proceeds thereof securing the financing of premiums with respect thereto; </w:t>
      </w:r>
      <w:r>
        <w:rPr>
          <w:rFonts w:ascii="Times New Roman" w:hAnsi="Times New Roman"/>
          <w:sz w:val="20"/>
          <w:u w:val="single"/>
        </w:rPr>
        <w:t>provided</w:t>
      </w:r>
      <w:r>
        <w:rPr>
          <w:rFonts w:ascii="Times New Roman" w:hAnsi="Times New Roman"/>
          <w:sz w:val="20"/>
        </w:rPr>
        <w:t xml:space="preserve"> that such Liens shall not exceed the amount of such premiums so financed; and (ii) Liens, pledges, deposits made or other security provided to secure liabilities to, or indemnification obligations of (including obligations in respect of letters of credit or bank guarantees for the benefits of), insurance carriers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(23) Liens in favor of the Issuer or a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(24) Liens arising from filing Uniform Commercial Code financing statements regarding leases or precautionary Uniform Commercial Code financings statements or similar filings; </w:t>
      </w:r>
    </w:p>
    <w:p>
      <w:pPr>
        <w:pStyle w:val="TextBody"/>
        <w:bidi w:val="0"/>
        <w:spacing w:before="120" w:after="0"/>
        <w:jc w:val="left"/>
        <w:rPr>
          <w:rFonts w:ascii="Times New Roman" w:hAnsi="Times New Roman"/>
          <w:sz w:val="20"/>
        </w:rPr>
      </w:pPr>
      <w:r>
        <w:rPr>
          <w:rFonts w:ascii="Times New Roman" w:hAnsi="Times New Roman"/>
          <w:sz w:val="20"/>
        </w:rPr>
        <w:t xml:space="preserve">(25) deposits to secure the performance of bids, trade contracts, governmental contracts and leases (other than Debt), statutory obligations, surety, stay, customs and appeal bonds, performance bonds and other obligations of a like nature (including those to secure health, safety and environmental obligations)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(26) Liens arising out of conditional sale, title retention, consignment or similar arrangements for sale of goods entered into by the Issuer or any of the Restricted Subsidiaries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(27) Liens securing Debt and other obligations in the aggregate amount outstanding at any time not to exceed the greater of (x) $1,200.0 million and (y) 10.0% of Consolidated Total Assets (determined at the time any such Lien is granted); </w:t>
      </w:r>
      <w:r>
        <w:rPr>
          <w:rFonts w:ascii="Times New Roman" w:hAnsi="Times New Roman"/>
          <w:sz w:val="20"/>
          <w:u w:val="single"/>
        </w:rPr>
        <w:t>provided</w:t>
      </w:r>
      <w:r>
        <w:rPr>
          <w:rFonts w:ascii="Times New Roman" w:hAnsi="Times New Roman"/>
          <w:sz w:val="20"/>
        </w:rPr>
        <w:t xml:space="preserve"> that no such Lien shall be granted by a Restricted Subsidiary that is not a Subsidiary Guarantor to secure Debt Incurred pursuant to Section 4.9(a) or under a clause of the definition of “Permitted Debt” that could not have been Incurred by such Restricted Subsidiary under such clause; </w:t>
      </w:r>
    </w:p>
    <w:p>
      <w:pPr>
        <w:pStyle w:val="TextBody"/>
        <w:bidi w:val="0"/>
        <w:spacing w:before="120" w:after="0"/>
        <w:jc w:val="left"/>
        <w:rPr>
          <w:rFonts w:ascii="Times New Roman" w:hAnsi="Times New Roman"/>
          <w:sz w:val="20"/>
        </w:rPr>
      </w:pPr>
      <w:r>
        <w:rPr>
          <w:rFonts w:ascii="Times New Roman" w:hAnsi="Times New Roman"/>
          <w:sz w:val="20"/>
        </w:rPr>
        <w:t xml:space="preserve">(28) Liens that (i) are incidental to the ordinary conduct of its business, including the guarantee of Debt to customers, clients, suppliers or purchasers or sellers of goods or services, or the ownership of its properties and assets, (ii) were not incurred in connection with the incurrence of Debt for borrowed money and (iii) do not in the aggregate materially detract from the value of the property of the Issuer or any Restricted Subsidiary or materially impair the use thereof in the operation of its business; </w:t>
      </w:r>
    </w:p>
    <w:p>
      <w:pPr>
        <w:pStyle w:val="TextBody"/>
        <w:bidi w:val="0"/>
        <w:spacing w:before="120" w:after="0"/>
        <w:jc w:val="left"/>
        <w:rPr>
          <w:rFonts w:ascii="Times New Roman" w:hAnsi="Times New Roman"/>
          <w:sz w:val="20"/>
        </w:rPr>
      </w:pPr>
      <w:r>
        <w:rPr>
          <w:rFonts w:ascii="Times New Roman" w:hAnsi="Times New Roman"/>
          <w:sz w:val="20"/>
        </w:rPr>
        <w:t xml:space="preserve">(29) Liens on assets transferred to a Receivables Subsidiary or on assets of a Receivables Subsidiary, in either case incurred in connection with a Permitted Securitization; and </w:t>
      </w:r>
    </w:p>
    <w:p>
      <w:pPr>
        <w:pStyle w:val="TextBody"/>
        <w:bidi w:val="0"/>
        <w:spacing w:before="120" w:after="0"/>
        <w:jc w:val="left"/>
        <w:rPr>
          <w:rFonts w:ascii="Times New Roman" w:hAnsi="Times New Roman"/>
          <w:sz w:val="20"/>
        </w:rPr>
      </w:pPr>
      <w:r>
        <w:rPr>
          <w:rFonts w:ascii="Times New Roman" w:hAnsi="Times New Roman"/>
          <w:sz w:val="20"/>
        </w:rPr>
        <w:t xml:space="preserve">(30) Liens securing Debt Incurred to refinance Debt (other than Liens permitted under clause (1)) that was previously so secured (or otherwise replacing any such Lien); </w:t>
      </w:r>
      <w:r>
        <w:rPr>
          <w:rFonts w:ascii="Times New Roman" w:hAnsi="Times New Roman"/>
          <w:sz w:val="20"/>
          <w:u w:val="single"/>
        </w:rPr>
        <w:t>provided</w:t>
      </w:r>
      <w:r>
        <w:rPr>
          <w:rFonts w:ascii="Times New Roman" w:hAnsi="Times New Roman"/>
          <w:sz w:val="20"/>
        </w:rPr>
        <w:t xml:space="preserve"> that any such Lien is limited to all or part of the same property or assets (plus improvements, accessions, proceeds or dividends or distributions in respect thereof) that secured (or, under the written arrangements under which the original Lien arose, could secure) the Debt being refinanced or is in respect of property that is the security for a Permitted Lien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Permitted Refinancing Debt</w:t>
      </w:r>
      <w:r>
        <w:rPr>
          <w:rFonts w:ascii="Times New Roman" w:hAnsi="Times New Roman"/>
          <w:sz w:val="20"/>
        </w:rPr>
        <w:t xml:space="preserve">” means any Debt of the Issuer or any of its Restricted Subsidiaries issued in exchange for, or the net proceeds of which are used to extend, refinance, renew, replace, defease or refund other Debt of the Issuer or any of its Restricted Subsidiaries;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(1) the principal amount (or accreted value, if applicable) of such Permitted Refinancing Debt does not exceed the principal amount of, plus premium, if any, and accrued and unpaid interest on the Debt so extended, refinanced, renewed, replaced, defeased or refunded (plus the amount of reasonable expenses Incurred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(2) the Permitted Refinancing Debt has a final maturity date no earlier than the final maturity date of the Debt being extended, refinanced, renewed, replaced, defeased or refunded; </w:t>
      </w:r>
    </w:p>
    <w:p>
      <w:pPr>
        <w:pStyle w:val="TextBody"/>
        <w:bidi w:val="0"/>
        <w:spacing w:before="120" w:after="0"/>
        <w:jc w:val="left"/>
        <w:rPr>
          <w:rFonts w:ascii="Times New Roman" w:hAnsi="Times New Roman"/>
          <w:sz w:val="20"/>
        </w:rPr>
      </w:pPr>
      <w:r>
        <w:rPr>
          <w:rFonts w:ascii="Times New Roman" w:hAnsi="Times New Roman"/>
          <w:sz w:val="20"/>
        </w:rPr>
        <w:t xml:space="preserve">(3) the Permitted Refinancing Debt has an Average Life at the time such Permitted Refinancing Debt is Incurred that is equal to or greater than the Average Life of the Debt being extended, refinanced, renewed, replaced, defeased or refunded; </w:t>
      </w:r>
    </w:p>
    <w:p>
      <w:pPr>
        <w:pStyle w:val="TextBody"/>
        <w:bidi w:val="0"/>
        <w:spacing w:before="120" w:after="0"/>
        <w:jc w:val="left"/>
        <w:rPr>
          <w:rFonts w:ascii="Times New Roman" w:hAnsi="Times New Roman"/>
          <w:sz w:val="20"/>
        </w:rPr>
      </w:pPr>
      <w:r>
        <w:rPr>
          <w:rFonts w:ascii="Times New Roman" w:hAnsi="Times New Roman"/>
          <w:sz w:val="20"/>
        </w:rPr>
        <w:t xml:space="preserve">(4) if the Debt being extended, refinanced, renewed, replaced, defeased or refunded is subordinated in right of payment to the Notes or a Subsidiary Guarantee of such Notes, such Permitted Refinancing Debt is subordinated in right of payment to such Notes or such Subsidiary Guarantee of such Notes on terms at least as favorable, taken as a whole, to the Holders of the Notes as those contained in the documentation governing the Debt being extended, refinanced, renewed, replaced, defeased or refunded; and </w:t>
      </w:r>
    </w:p>
    <w:p>
      <w:pPr>
        <w:pStyle w:val="TextBody"/>
        <w:bidi w:val="0"/>
        <w:spacing w:before="120" w:after="0"/>
        <w:jc w:val="left"/>
        <w:rPr>
          <w:rFonts w:ascii="Times New Roman" w:hAnsi="Times New Roman"/>
          <w:sz w:val="20"/>
        </w:rPr>
      </w:pPr>
      <w:r>
        <w:rPr>
          <w:rFonts w:ascii="Times New Roman" w:hAnsi="Times New Roman"/>
          <w:sz w:val="20"/>
        </w:rPr>
        <w:t xml:space="preserve">(5) such Debt shall not include Debt of a Restricted Subsidiary that is not a Subsidiary Guarantor that refinances Debt of the Issuer or a Subsidiary Guarantor. </w:t>
      </w:r>
    </w:p>
    <w:p>
      <w:pPr>
        <w:pStyle w:val="TextBody"/>
        <w:bidi w:val="0"/>
        <w:spacing w:before="240" w:after="0"/>
        <w:jc w:val="left"/>
        <w:rPr/>
      </w:pPr>
      <w:r>
        <w:rPr/>
        <w:t>“</w:t>
      </w:r>
      <w:r>
        <w:rPr>
          <w:rFonts w:ascii="Times New Roman" w:hAnsi="Times New Roman"/>
          <w:i/>
          <w:sz w:val="20"/>
        </w:rPr>
        <w:t>Permitted Securitization</w:t>
      </w:r>
      <w:r>
        <w:rPr>
          <w:rFonts w:ascii="Times New Roman" w:hAnsi="Times New Roman"/>
          <w:sz w:val="20"/>
        </w:rPr>
        <w:t xml:space="preserve">” means one or more accounts receivable facilities, the obligations in respect of which are non-recourse (except for customary representations, warranties, covenants and indemnities made in connection with such facilities) to the Issuer and its Subsidiaries (other than a Receivables Subsidiary), pursuant to which the Issuer or a Subsidiary sells its accounts receivable to either (a) a Person that is not a Subsidiary or (b) a Receivables Subsidiary that in turn funds such purchase by purporting to sell its accounts receivable to a Person that is not a Subsidiary or by borrowing from such a Person or from another Receivables Subsidiary that in turn funds itself by borrowing from such a Person, in each case as amended, supplemented, amended and restated or otherwise modified from time to time.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partnership, limited liability company, joint venture, incorporated or unincorporated association, joint-stock company, trust, mutual fund trust, unincorporated organization or government or other agency or political subdivision thereof or other legal entity of any kind.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Preferred Stock</w:t>
      </w:r>
      <w:r>
        <w:rPr>
          <w:rFonts w:ascii="Times New Roman" w:hAnsi="Times New Roman"/>
          <w:sz w:val="20"/>
        </w:rPr>
        <w:t xml:space="preserve">” of any Person means Capital Stock of such Person of any class or classes (however designated) that ranks prior, as to the payment of dividends or as to the distribution of assets upon any voluntary or involuntary liquidation, dissolution or winding-up of such Person, to shares of Capital Stock of any other class of such Person. </w:t>
      </w:r>
    </w:p>
    <w:p>
      <w:pPr>
        <w:pStyle w:val="TextBody"/>
        <w:bidi w:val="0"/>
        <w:spacing w:before="240" w:after="0"/>
        <w:jc w:val="left"/>
        <w:rPr/>
      </w:pPr>
      <w:r>
        <w:rPr/>
        <w:t>“</w:t>
      </w:r>
      <w:r>
        <w:rPr>
          <w:rFonts w:ascii="Times New Roman" w:hAnsi="Times New Roman"/>
          <w:i/>
          <w:sz w:val="20"/>
        </w:rPr>
        <w:t>Principal Subsidiary</w:t>
      </w:r>
      <w:r>
        <w:rPr>
          <w:rFonts w:ascii="Times New Roman" w:hAnsi="Times New Roman"/>
          <w:sz w:val="20"/>
        </w:rPr>
        <w:t xml:space="preserve">” means, as of any date of determination thereof, any Subsidiary the consolidated net revenues of which for the twelve-month period ending on the last day of the month then most recently ended exceed 10% of the Issuer’s consolidated net revenues for such period, determined on a pro forma basis after giving effect to any acquisition or disposition of a Subsidiary or a business effected on or prior to the determination date and after the beginning of such twelve-month period (including acquisitions and dispositions accomplished through a purchase or sale of assets or through a merger or consolidation). </w:t>
      </w:r>
    </w:p>
    <w:p>
      <w:pPr>
        <w:pStyle w:val="TextBody"/>
        <w:bidi w:val="0"/>
        <w:spacing w:before="240" w:after="0"/>
        <w:jc w:val="left"/>
        <w:rPr/>
      </w:pPr>
      <w:r>
        <w:rPr/>
        <w:t>“</w:t>
      </w:r>
      <w:r>
        <w:rPr>
          <w:rFonts w:ascii="Times New Roman" w:hAnsi="Times New Roman"/>
          <w:i/>
          <w:sz w:val="20"/>
        </w:rPr>
        <w:t>Pro Forma Cost Savings</w:t>
      </w:r>
      <w:r>
        <w:rPr>
          <w:rFonts w:ascii="Times New Roman" w:hAnsi="Times New Roman"/>
          <w:sz w:val="20"/>
        </w:rPr>
        <w:t>” means an amount equal to the amount of cost savings, expense reductions, improvements (including the entry into any material contract or arrangement) and synergies, in each case, reasonably expected to have a continuing impact and projected in good faith to be realized (calculated on a pro forma basis as though such items had been realized on the first day of such period) as a result of actions taken or to be taken by the Issuer (or any successor thereto) or any Restricted Subsidiary, net of the amount of actual benefits realized or expected to be realized during such period that are otherwise included in the calculation of Consolidated EBITDA from such actions;</w:t>
      </w:r>
      <w:r>
        <w:rPr>
          <w:rFonts w:ascii="Times New Roman" w:hAnsi="Times New Roman"/>
          <w:sz w:val="20"/>
          <w:u w:val="single"/>
        </w:rPr>
        <w:t> provided</w:t>
      </w:r>
      <w:r>
        <w:rPr>
          <w:rFonts w:ascii="Times New Roman" w:hAnsi="Times New Roman"/>
          <w:sz w:val="20"/>
        </w:rPr>
        <w:t> that such cost savings, expense reductions, improvements and synergies are factually supportable and reasonably identifiable (as determined in good faith) by a responsible financial or accounting officer, in his or her capacity as such and not in his or her personal capacity, of the Issuer (or any successor thereto) or of any direct or indirect parent of the Issuer and are reasonably anticipated to be realized within 24 months after the consummation of any change that is expected to result in such cost savings, expense reductions, improvements or synergies;</w:t>
      </w:r>
      <w:r>
        <w:rPr>
          <w:rFonts w:ascii="Times New Roman" w:hAnsi="Times New Roman"/>
          <w:sz w:val="20"/>
          <w:u w:val="single"/>
        </w:rPr>
        <w:t> provided</w:t>
      </w:r>
      <w:r>
        <w:rPr>
          <w:rFonts w:ascii="Times New Roman" w:hAnsi="Times New Roman"/>
          <w:sz w:val="20"/>
        </w:rPr>
        <w:t xml:space="preserve"> that (i) no cost savings, expense reductions, improvements and synergies shall be added pursuant to this definition to the extent duplicative of any expenses or charges otherwise added to Consolidated Net Income or Consolidated EBITDA, whether through a pro forma adjustment, add back exclusion or otherwise, for such period and (ii) the aggregate amount of unrealized cost savings, expense reductions, improvements or synergies that are not calculated in accordance with Regulation S-X under the Securities Act to be added to Consolidated EBITDA pursuant to this definition for any period of four consecutive fiscal quarters shall not exceed 25.0% of Consolidated EBITDA for such period (calculated prior to giving effect to such permitted cost savings addbacks). </w:t>
      </w:r>
    </w:p>
    <w:p>
      <w:pPr>
        <w:pStyle w:val="TextBody"/>
        <w:bidi w:val="0"/>
        <w:spacing w:before="240" w:after="0"/>
        <w:jc w:val="left"/>
        <w:rPr/>
      </w:pPr>
      <w:r>
        <w:rPr/>
        <w:t>“</w:t>
      </w:r>
      <w:r>
        <w:rPr>
          <w:rFonts w:ascii="Times New Roman" w:hAnsi="Times New Roman"/>
          <w:i/>
          <w:sz w:val="20"/>
        </w:rPr>
        <w:t>Rating Agencies</w:t>
      </w:r>
      <w:r>
        <w:rPr>
          <w:rFonts w:ascii="Times New Roman" w:hAnsi="Times New Roman"/>
          <w:sz w:val="20"/>
        </w:rPr>
        <w:t xml:space="preserve">” means (1) each of Fitch, Moody’s and S&amp;P and (2) if any of Fitch, Moody’s or S&amp;P ceases to rate the Notes or fails to make a rating of such Notes publicly available for reasons outside of the Issuer’s control, a “nationally recognized statistical rating organization” within the meaning of Section 3(a)(62) under the Exchange Act selected by the Issuer as a replacement agency for Fitch, Moody’s or S&amp;P, or all of them, as the case may be. </w:t>
      </w:r>
    </w:p>
    <w:p>
      <w:pPr>
        <w:pStyle w:val="TextBody"/>
        <w:bidi w:val="0"/>
        <w:spacing w:before="240" w:after="0"/>
        <w:jc w:val="left"/>
        <w:rPr/>
      </w:pPr>
      <w:r>
        <w:rPr/>
        <w:t>“</w:t>
      </w:r>
      <w:r>
        <w:rPr>
          <w:rFonts w:ascii="Times New Roman" w:hAnsi="Times New Roman"/>
          <w:i/>
          <w:sz w:val="20"/>
        </w:rPr>
        <w:t>Rating Event</w:t>
      </w:r>
      <w:r>
        <w:rPr>
          <w:rFonts w:ascii="Times New Roman" w:hAnsi="Times New Roman"/>
          <w:sz w:val="20"/>
        </w:rPr>
        <w:t>” means that on any day during the period (the “</w:t>
      </w:r>
      <w:r>
        <w:rPr>
          <w:rFonts w:ascii="Times New Roman" w:hAnsi="Times New Roman"/>
          <w:i/>
          <w:sz w:val="20"/>
        </w:rPr>
        <w:t>trigger period</w:t>
      </w:r>
      <w:r>
        <w:rPr>
          <w:rFonts w:ascii="Times New Roman" w:hAnsi="Times New Roman"/>
          <w:sz w:val="20"/>
        </w:rPr>
        <w:t xml:space="preserve">”) commencing 60 days prior to the first public announcement by the Issuer of any Change of Control (or pending Change of Control) and ending 60 days following consummation of such Change of Control (which trigger period will be extended following consummation of a Change of Control for so long as any of the Rating Agencies has publicly announced that it is considering a possible ratings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change), if the Notes had an Investment Grade Rating from at least two of the three Rating Agencies on the day before the commencement of the trigger period, the Notes cease to have an Investment Grade Rating from at least two of the three Rating Agencies; </w:t>
      </w:r>
      <w:r>
        <w:rPr>
          <w:rFonts w:ascii="Times New Roman" w:hAnsi="Times New Roman"/>
          <w:sz w:val="20"/>
          <w:u w:val="single"/>
        </w:rPr>
        <w:t>provided</w:t>
      </w:r>
      <w:r>
        <w:rPr>
          <w:rFonts w:ascii="Times New Roman" w:hAnsi="Times New Roman"/>
          <w:sz w:val="20"/>
        </w:rPr>
        <w:t xml:space="preserve"> that if the Notes did not have an Investment Grade Rating from at least two of the three Rating Agencies on the day before the commencement of the trigger period, then a Rating Event shall be deemed to occur upon the consummation of a Change of Control without regard to any action by any Rating Agency. Unless at least two of the three Rating Agencies are providing a rating for the Notes at the commencement of any trigger period, the Notes will be deemed to have ceased to have an Investment Grade Rating from at least two of the three Rating Agencies during that trigger period. </w:t>
      </w:r>
    </w:p>
    <w:p>
      <w:pPr>
        <w:pStyle w:val="TextBody"/>
        <w:bidi w:val="0"/>
        <w:spacing w:before="240" w:after="0"/>
        <w:jc w:val="left"/>
        <w:rPr/>
      </w:pPr>
      <w:r>
        <w:rPr/>
        <w:t>“</w:t>
      </w:r>
      <w:r>
        <w:rPr>
          <w:rFonts w:ascii="Times New Roman" w:hAnsi="Times New Roman"/>
          <w:i/>
          <w:sz w:val="20"/>
        </w:rPr>
        <w:t>Receivables</w:t>
      </w:r>
      <w:r>
        <w:rPr>
          <w:rFonts w:ascii="Times New Roman" w:hAnsi="Times New Roman"/>
          <w:sz w:val="20"/>
        </w:rPr>
        <w:t xml:space="preserve">” means receivables, chattel paper, instruments, documents or intangibles evidencing or relating to the right to payment of money. </w:t>
      </w:r>
    </w:p>
    <w:p>
      <w:pPr>
        <w:pStyle w:val="TextBody"/>
        <w:bidi w:val="0"/>
        <w:spacing w:before="240" w:after="0"/>
        <w:jc w:val="left"/>
        <w:rPr/>
      </w:pPr>
      <w:r>
        <w:rPr/>
        <w:t>“</w:t>
      </w:r>
      <w:r>
        <w:rPr>
          <w:rFonts w:ascii="Times New Roman" w:hAnsi="Times New Roman"/>
          <w:i/>
          <w:sz w:val="20"/>
        </w:rPr>
        <w:t>Receivables Sale</w:t>
      </w:r>
      <w:r>
        <w:rPr>
          <w:rFonts w:ascii="Times New Roman" w:hAnsi="Times New Roman"/>
          <w:sz w:val="20"/>
        </w:rPr>
        <w:t xml:space="preserve">” of any Person means any sale of Receivables of such Person (pursuant to a purchase facility or otherwise), other than in connection with a disposition of the business operations of such Person relating thereto or a disposition of defaulted Receivables for purposes of collection and not as a financing arrangement. </w:t>
      </w:r>
    </w:p>
    <w:p>
      <w:pPr>
        <w:pStyle w:val="TextBody"/>
        <w:bidi w:val="0"/>
        <w:spacing w:before="240" w:after="0"/>
        <w:jc w:val="left"/>
        <w:rPr/>
      </w:pPr>
      <w:r>
        <w:rPr/>
        <w:t>“</w:t>
      </w:r>
      <w:r>
        <w:rPr>
          <w:rFonts w:ascii="Times New Roman" w:hAnsi="Times New Roman"/>
          <w:i/>
          <w:sz w:val="20"/>
        </w:rPr>
        <w:t>Receivables Subsidiary</w:t>
      </w:r>
      <w:r>
        <w:rPr>
          <w:rFonts w:ascii="Times New Roman" w:hAnsi="Times New Roman"/>
          <w:sz w:val="20"/>
        </w:rPr>
        <w:t xml:space="preserve">” means any Subsidiary formed for the purpose of facilitating or entering into one or more Permitted Securitizations and that in each case engages only in activities reasonably related or incidental thereto; </w:t>
      </w:r>
      <w:r>
        <w:rPr>
          <w:rFonts w:ascii="Times New Roman" w:hAnsi="Times New Roman"/>
          <w:sz w:val="20"/>
          <w:u w:val="single"/>
        </w:rPr>
        <w:t>provided</w:t>
      </w:r>
      <w:r>
        <w:rPr>
          <w:rFonts w:ascii="Times New Roman" w:hAnsi="Times New Roman"/>
          <w:sz w:val="20"/>
        </w:rPr>
        <w:t xml:space="preserve"> that the equity interests of each Receivables Subsidiary shall at all times be 100% owned, directly or indirectly, by the Issuer or a Subsidiary Guarantor. </w:t>
      </w:r>
    </w:p>
    <w:p>
      <w:pPr>
        <w:pStyle w:val="TextBody"/>
        <w:bidi w:val="0"/>
        <w:spacing w:before="240" w:after="0"/>
        <w:jc w:val="left"/>
        <w:rPr/>
      </w:pPr>
      <w:r>
        <w:rPr/>
        <w:t>“</w:t>
      </w:r>
      <w:r>
        <w:rPr>
          <w:rFonts w:ascii="Times New Roman" w:hAnsi="Times New Roman"/>
          <w:i/>
          <w:sz w:val="20"/>
        </w:rPr>
        <w:t>Redeemable Stock</w:t>
      </w:r>
      <w:r>
        <w:rPr>
          <w:rFonts w:ascii="Times New Roman" w:hAnsi="Times New Roman"/>
          <w:sz w:val="20"/>
        </w:rPr>
        <w:t xml:space="preserve">” of any Person means any Capital Stock of such Person that by its terms (or by the terms of any security into which it is convertible or for which it is exchangeable) or otherwise (including upon the occurrence of an event) matures or is required to be redeemed (other than in exchange for Capital Stock of the Issuer that is not Redeemable Stock) or is convertible into or exchangeable for Debt or is redeemable at the option of the holder thereof (other than in exchange for Capital Stock of the Issuer that is not Redeemable Stock), in whole or in part, at any time prior to the final Stated Maturity of the Notes. Notwithstanding the preceding sentence, any Capital Stock that would constitute Redeemable Stock solely because the holders thereof have the right to require the Issuer to repurchase such Capital Stock upon the occurrence of a change of control or an asset sale shall not constitute Redeemable Stock if the terms of such Capital Stock provide that the Issuer shall not repurchase or redeem any such Capital Stock pursuant to such provisions unless such repurchase or redemption complies with Section 4.7. </w:t>
      </w:r>
    </w:p>
    <w:p>
      <w:pPr>
        <w:pStyle w:val="TextBody"/>
        <w:bidi w:val="0"/>
        <w:spacing w:before="240" w:after="0"/>
        <w:jc w:val="left"/>
        <w:rPr/>
      </w:pPr>
      <w:r>
        <w:rPr/>
        <w:t>“</w:t>
      </w:r>
      <w:r>
        <w:rPr>
          <w:rFonts w:ascii="Times New Roman" w:hAnsi="Times New Roman"/>
          <w:i/>
          <w:sz w:val="20"/>
        </w:rPr>
        <w:t>Regulation S Legend</w:t>
      </w:r>
      <w:r>
        <w:rPr>
          <w:rFonts w:ascii="Times New Roman" w:hAnsi="Times New Roman"/>
          <w:sz w:val="20"/>
        </w:rPr>
        <w:t xml:space="preserve">” means the legend identified as such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Replacement Assets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properties and assets (other than cash, Cash Equivalents, any Capital Stock or other security) that will be used in the business of the Issuer and its Restricted Subsidiaries as conducted on the Issue Date or any business reasonably similar to, ancillary thereto or supportive thereof;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Capital Stock of any Person that is engaged in the business of the Issuer and its Restricted Subsidiaries as conducted on the Issue Date or any business reasonably similar to, ancillary thereto or supportive thereof and that will be merged or consolidated with or into the Issuer or a Restricted Subsidiary or that will become a Restricted Subsidiary. </w:t>
      </w:r>
    </w:p>
    <w:p>
      <w:pPr>
        <w:pStyle w:val="TextBody"/>
        <w:bidi w:val="0"/>
        <w:spacing w:before="240" w:after="0"/>
        <w:jc w:val="left"/>
        <w:rPr/>
      </w:pPr>
      <w:r>
        <w:rPr/>
        <w:t>“</w:t>
      </w:r>
      <w:r>
        <w:rPr>
          <w:rFonts w:ascii="Times New Roman" w:hAnsi="Times New Roman"/>
          <w:i/>
          <w:sz w:val="20"/>
        </w:rPr>
        <w:t>Responsible Officer</w:t>
      </w:r>
      <w:r>
        <w:rPr>
          <w:rFonts w:ascii="Times New Roman" w:hAnsi="Times New Roman"/>
          <w:sz w:val="20"/>
        </w:rPr>
        <w:t xml:space="preserve">”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 </w:t>
      </w:r>
    </w:p>
    <w:p>
      <w:pPr>
        <w:pStyle w:val="TextBody"/>
        <w:bidi w:val="0"/>
        <w:spacing w:before="240" w:after="0"/>
        <w:jc w:val="left"/>
        <w:rPr/>
      </w:pPr>
      <w:r>
        <w:rPr/>
        <w:t>“</w:t>
      </w:r>
      <w:r>
        <w:rPr>
          <w:rFonts w:ascii="Times New Roman" w:hAnsi="Times New Roman"/>
          <w:i/>
          <w:sz w:val="20"/>
        </w:rPr>
        <w:t>Restricted Investment</w:t>
      </w:r>
      <w:r>
        <w:rPr>
          <w:rFonts w:ascii="Times New Roman" w:hAnsi="Times New Roman"/>
          <w:sz w:val="20"/>
        </w:rPr>
        <w:t xml:space="preserve">” means an Investment other than a Permitted Investment. </w:t>
      </w:r>
    </w:p>
    <w:p>
      <w:pPr>
        <w:pStyle w:val="TextBody"/>
        <w:bidi w:val="0"/>
        <w:spacing w:before="240" w:after="0"/>
        <w:jc w:val="left"/>
        <w:rPr/>
      </w:pPr>
      <w:r>
        <w:rPr/>
        <w:t>“</w:t>
      </w:r>
      <w:r>
        <w:rPr>
          <w:rFonts w:ascii="Times New Roman" w:hAnsi="Times New Roman"/>
          <w:i/>
          <w:sz w:val="20"/>
        </w:rPr>
        <w:t>Restricted Notes Legend</w:t>
      </w:r>
      <w:r>
        <w:rPr>
          <w:rFonts w:ascii="Times New Roman" w:hAnsi="Times New Roman"/>
          <w:sz w:val="20"/>
        </w:rPr>
        <w:t xml:space="preserve">” means the legend identified as such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Restricted Subsidiary</w:t>
      </w:r>
      <w:r>
        <w:rPr>
          <w:rFonts w:ascii="Times New Roman" w:hAnsi="Times New Roman"/>
          <w:sz w:val="20"/>
        </w:rPr>
        <w:t xml:space="preserve">” means any Subsidiary of the Issuer, whether existing on or after the Issue Date, unless such Subsidiary is an Unrestricted Subsidiary.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means S&amp;P Global Ratings, a division of S&amp;P Global Inc., and its successors. </w:t>
      </w:r>
    </w:p>
    <w:p>
      <w:pPr>
        <w:pStyle w:val="TextBody"/>
        <w:bidi w:val="0"/>
        <w:spacing w:before="240" w:after="0"/>
        <w:jc w:val="left"/>
        <w:rPr/>
      </w:pPr>
      <w:r>
        <w:rPr/>
        <w:t>“</w:t>
      </w:r>
      <w:r>
        <w:rPr>
          <w:rFonts w:ascii="Times New Roman" w:hAnsi="Times New Roman"/>
          <w:i/>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i/>
          <w:sz w:val="20"/>
        </w:rPr>
        <w:t>Secured Debt</w:t>
      </w:r>
      <w:r>
        <w:rPr>
          <w:rFonts w:ascii="Times New Roman" w:hAnsi="Times New Roman"/>
          <w:sz w:val="20"/>
        </w:rPr>
        <w:t xml:space="preserve">” at any date shall mean the aggregate principal amount of Debt that would be reflected on a balance sheet prepared as of such date on a consolidated basis in accordance with GAAP (but excluding the effects of any discounting of Permitted Acquisition Debt resulting from the application of purchase accounting), consisting of Debt for borrowed money (other than to the extent arising from cash management related obligations incurred in the ordinary course of business), Finance Lease Obligations, debt obligations evidenced by bonds, debentures, notes or other similar instruments, unreimbursed drawings in respect of letters of credit (or similar facilities) and Guarantees of the foregoing, that in each case is then secured by Liens on any property or assets of the Issuer or any Restricted Subsidiary. </w:t>
      </w:r>
    </w:p>
    <w:p>
      <w:pPr>
        <w:pStyle w:val="TextBody"/>
        <w:bidi w:val="0"/>
        <w:spacing w:before="240" w:after="0"/>
        <w:jc w:val="left"/>
        <w:rPr/>
      </w:pPr>
      <w:r>
        <w:rPr/>
        <w:t>“</w:t>
      </w:r>
      <w:r>
        <w:rPr>
          <w:rFonts w:ascii="Times New Roman" w:hAnsi="Times New Roman"/>
          <w:i/>
          <w:sz w:val="20"/>
        </w:rPr>
        <w:t>Secured Net Leverage Ratio</w:t>
      </w:r>
      <w:r>
        <w:rPr>
          <w:rFonts w:ascii="Times New Roman" w:hAnsi="Times New Roman"/>
          <w:sz w:val="20"/>
        </w:rPr>
        <w:t>” means, as of any date of determination, the ratio of (1) (a) Secured Debt as of the end of the most recent fiscal quarter for which quarterly or annual financial statements prepared on a consolidated basis in accordance with GAAP are available (the “</w:t>
      </w:r>
      <w:r>
        <w:rPr>
          <w:rFonts w:ascii="Times New Roman" w:hAnsi="Times New Roman"/>
          <w:i/>
          <w:sz w:val="20"/>
        </w:rPr>
        <w:t>secured balance sheet date</w:t>
      </w:r>
      <w:r>
        <w:rPr>
          <w:rFonts w:ascii="Times New Roman" w:hAnsi="Times New Roman"/>
          <w:sz w:val="20"/>
        </w:rPr>
        <w:t xml:space="preserve">”) minus (b) the amount of unrestricted cash and Cash Equivalents held by the Issuer and the Restricted Subsidiaries on the secured balance sheet date to (2) Consolidated EBITDA of the Issuer and its Restricted Subsidiaries for the period of the most recently completed four consecutive fiscal quarters ending on the secured balance sheet date. The Secured Net Leverage Ratio shall be adjusted on a pro forma basis in a manner consistent with the definition of “Consolidated Fixed Charge Coverage Ratio.” </w:t>
      </w:r>
    </w:p>
    <w:p>
      <w:pPr>
        <w:pStyle w:val="TextBody"/>
        <w:bidi w:val="0"/>
        <w:spacing w:before="240" w:after="0"/>
        <w:jc w:val="left"/>
        <w:rPr/>
      </w:pPr>
      <w:r>
        <w:rPr/>
        <w:t>“</w:t>
      </w:r>
      <w:r>
        <w:rPr>
          <w:rFonts w:ascii="Times New Roman" w:hAnsi="Times New Roman"/>
          <w:i/>
          <w:sz w:val="20"/>
        </w:rPr>
        <w:t>Securities Act</w:t>
      </w:r>
      <w:r>
        <w:rPr>
          <w:rFonts w:ascii="Times New Roman" w:hAnsi="Times New Roman"/>
          <w:sz w:val="20"/>
        </w:rPr>
        <w:t xml:space="preserve">” means the Securities Act of 1933, as amended, and the rules and regulations of the SEC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Stated Maturity</w:t>
      </w:r>
      <w:r>
        <w:rPr>
          <w:rFonts w:ascii="Times New Roman" w:hAnsi="Times New Roman"/>
          <w:sz w:val="20"/>
        </w:rPr>
        <w:t xml:space="preserve">” means, when used with respect to any Debt or any installment of interest on such Debt, the dates specified in such Debt as the fixed date on which the principal of such Debt or such installment of interest, as the case may be, is due and payable. </w:t>
      </w:r>
    </w:p>
    <w:p>
      <w:pPr>
        <w:pStyle w:val="TextBody"/>
        <w:bidi w:val="0"/>
        <w:spacing w:before="240" w:after="0"/>
        <w:jc w:val="left"/>
        <w:rPr/>
      </w:pPr>
      <w:r>
        <w:rPr/>
        <w:t>“</w:t>
      </w:r>
      <w:r>
        <w:rPr>
          <w:rFonts w:ascii="Times New Roman" w:hAnsi="Times New Roman"/>
          <w:i/>
          <w:sz w:val="20"/>
        </w:rPr>
        <w:t>Subordinated Debt</w:t>
      </w:r>
      <w:r>
        <w:rPr>
          <w:rFonts w:ascii="Times New Roman" w:hAnsi="Times New Roman"/>
          <w:sz w:val="20"/>
        </w:rPr>
        <w:t xml:space="preserve">” means Debt of the Issuer or a Subsidiary Guarantor that is expressly subordinated or junior in right of payment to the Notes or a Subsidiary Guarantee, as applicable, pursuant to a written agreement to that effect.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of any Person means: </w:t>
      </w:r>
    </w:p>
    <w:p>
      <w:pPr>
        <w:pStyle w:val="TextBody"/>
        <w:bidi w:val="0"/>
        <w:spacing w:before="120" w:after="0"/>
        <w:jc w:val="left"/>
        <w:rPr>
          <w:rFonts w:ascii="Times New Roman" w:hAnsi="Times New Roman"/>
          <w:sz w:val="20"/>
        </w:rPr>
      </w:pPr>
      <w:r>
        <w:rPr>
          <w:rFonts w:ascii="Times New Roman" w:hAnsi="Times New Roman"/>
          <w:sz w:val="20"/>
        </w:rPr>
        <w:t xml:space="preserve">(1) a corporation more than 50% of the combined voting power of the outstanding Voting Stock of which is owned, directly or indirectly, by such Person or by one or more other Subsidiaries of such Person or by such Person and one or more Subsidiaries thereof; or </w:t>
      </w:r>
    </w:p>
    <w:p>
      <w:pPr>
        <w:pStyle w:val="TextBody"/>
        <w:bidi w:val="0"/>
        <w:spacing w:before="120" w:after="0"/>
        <w:jc w:val="left"/>
        <w:rPr>
          <w:rFonts w:ascii="Times New Roman" w:hAnsi="Times New Roman"/>
          <w:sz w:val="20"/>
        </w:rPr>
      </w:pPr>
      <w:r>
        <w:rPr>
          <w:rFonts w:ascii="Times New Roman" w:hAnsi="Times New Roman"/>
          <w:sz w:val="20"/>
        </w:rPr>
        <w:t xml:space="preserve">(2) any other Person (other than a corporation) in which such Person, or one or more other Subsidiaries of such Person or such Person and one or more other Subsidiaries thereof, directly or indirectly, has at least a majority ownership and power to direct the policies, management and affairs thereof. </w:t>
      </w:r>
    </w:p>
    <w:p>
      <w:pPr>
        <w:pStyle w:val="TextBody"/>
        <w:bidi w:val="0"/>
        <w:spacing w:before="240" w:after="0"/>
        <w:jc w:val="left"/>
        <w:rPr/>
      </w:pPr>
      <w:r>
        <w:rPr/>
        <w:t>“</w:t>
      </w:r>
      <w:r>
        <w:rPr>
          <w:rFonts w:ascii="Times New Roman" w:hAnsi="Times New Roman"/>
          <w:i/>
          <w:sz w:val="20"/>
        </w:rPr>
        <w:t>Subsidiary Guarantee</w:t>
      </w:r>
      <w:r>
        <w:rPr>
          <w:rFonts w:ascii="Times New Roman" w:hAnsi="Times New Roman"/>
          <w:sz w:val="20"/>
        </w:rPr>
        <w:t xml:space="preserve">” means the Guarantee by any Subsidiary Guarantor of the Issuer’s obligations under this Indenture.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w:t>
      </w:r>
      <w:r>
        <w:rPr>
          <w:rFonts w:ascii="Times New Roman" w:hAnsi="Times New Roman"/>
          <w:i/>
          <w:sz w:val="20"/>
        </w:rPr>
        <w:t>Guarantor</w:t>
      </w:r>
      <w:r>
        <w:rPr>
          <w:rFonts w:ascii="Times New Roman" w:hAnsi="Times New Roman"/>
          <w:sz w:val="20"/>
        </w:rPr>
        <w:t xml:space="preserve">” means each Restricted Subsidiary of the Issuer that is required to, or at the election of the Issuer, does become a Subsidiary Guarantor by the terms of this Indenture after the Issue Date and their respective successors and assigns, in each case, until such Person is released from its Subsidiary Guarantee in accordance with the terms of this Indenture. </w:t>
      </w:r>
    </w:p>
    <w:p>
      <w:pPr>
        <w:pStyle w:val="TextBody"/>
        <w:bidi w:val="0"/>
        <w:spacing w:before="240" w:after="0"/>
        <w:jc w:val="left"/>
        <w:rPr/>
      </w:pPr>
      <w:r>
        <w:rPr/>
        <w:t>“</w:t>
      </w:r>
      <w:r>
        <w:rPr>
          <w:rFonts w:ascii="Times New Roman" w:hAnsi="Times New Roman"/>
          <w:i/>
          <w:sz w:val="20"/>
        </w:rPr>
        <w:t>Total Net Leverage Ratio</w:t>
      </w:r>
      <w:r>
        <w:rPr>
          <w:rFonts w:ascii="Times New Roman" w:hAnsi="Times New Roman"/>
          <w:sz w:val="20"/>
        </w:rPr>
        <w:t>” means, as of any date of determination, the ratio of (1) (a) Debt for money borrowed (other than to the extent arising from cash management related obligations incurred in the ordinary course of business) of the Issuer and its Restricted Subsidiaries as of the end of the most recent fiscal quarter for which quarterly or annual financial statements prepared on a consolidated basis in accordance with GAAP are available (the “</w:t>
      </w:r>
      <w:r>
        <w:rPr>
          <w:rFonts w:ascii="Times New Roman" w:hAnsi="Times New Roman"/>
          <w:i/>
          <w:sz w:val="20"/>
        </w:rPr>
        <w:t>balance sheet date</w:t>
      </w:r>
      <w:r>
        <w:rPr>
          <w:rFonts w:ascii="Times New Roman" w:hAnsi="Times New Roman"/>
          <w:sz w:val="20"/>
        </w:rPr>
        <w:t xml:space="preserve">”), minus (b) the amount of unrestricted cash and Cash Equivalents held by the Issuer and its Restricted Subsidiaries on the balance sheet date to (2) Consolidated EBITDA of the Issuer and its Restricted Subsidiaries for the period of the most recently completed four consecutive fiscal quarters ending on the balance sheet date. The Total Net Leverage Ratio shall be adjusted on a pro forma basis in a manner consistent with the definition of “Consolidated Fixed Charge Coverage Ratio.” </w:t>
      </w:r>
    </w:p>
    <w:p>
      <w:pPr>
        <w:pStyle w:val="TextBody"/>
        <w:bidi w:val="0"/>
        <w:spacing w:before="240" w:after="0"/>
        <w:jc w:val="left"/>
        <w:rPr/>
      </w:pPr>
      <w:r>
        <w:rPr/>
        <w:t>“</w:t>
      </w:r>
      <w:r>
        <w:rPr>
          <w:rFonts w:ascii="Times New Roman" w:hAnsi="Times New Roman"/>
          <w:i/>
          <w:sz w:val="20"/>
        </w:rPr>
        <w:t>Transfer Restricted Notes</w:t>
      </w:r>
      <w:r>
        <w:rPr>
          <w:rFonts w:ascii="Times New Roman" w:hAnsi="Times New Roman"/>
          <w:sz w:val="20"/>
        </w:rPr>
        <w:t xml:space="preserve">” means Notes that bear or are required to bear the Restricted Notes Legend. </w:t>
      </w:r>
    </w:p>
    <w:p>
      <w:pPr>
        <w:pStyle w:val="TextBody"/>
        <w:bidi w:val="0"/>
        <w:spacing w:before="24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the yield determined by the Issuer in accordance with the following two paragraphs: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i/>
          <w:sz w:val="20"/>
        </w:rPr>
        <w:t>H.15</w:t>
      </w:r>
      <w:r>
        <w:rPr>
          <w:rFonts w:ascii="Times New Roman" w:hAnsi="Times New Roman"/>
          <w:sz w:val="20"/>
        </w:rPr>
        <w:t>”) under “U.S. government securities–Treasury constant maturities–Nominal” (or any successor caption or heading). In determining the Treasury Rate, the Issuer shall select, as applicable: (1) the yield for the Treasury constant maturity on H.15 exactly equal to the period from the redemption date to the Par Call Date (the “</w:t>
      </w:r>
      <w:r>
        <w:rPr>
          <w:rFonts w:ascii="Times New Roman" w:hAnsi="Times New Roman"/>
          <w:i/>
          <w:sz w:val="20"/>
        </w:rPr>
        <w:t>Remaining Life</w:t>
      </w:r>
      <w:r>
        <w:rPr>
          <w:rFonts w:ascii="Times New Roman" w:hAnsi="Times New Roman"/>
          <w:sz w:val="20"/>
        </w:rPr>
        <w:t xml:space="preserv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or any successor designation or publication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pPr>
      <w:r>
        <w:rPr/>
        <w:t>“</w:t>
      </w:r>
      <w:r>
        <w:rPr>
          <w:rFonts w:ascii="Times New Roman" w:hAnsi="Times New Roman"/>
          <w:i/>
          <w:sz w:val="20"/>
        </w:rPr>
        <w:t>Trust Indenture Act</w:t>
      </w:r>
      <w:r>
        <w:rPr>
          <w:rFonts w:ascii="Times New Roman" w:hAnsi="Times New Roman"/>
          <w:sz w:val="20"/>
        </w:rPr>
        <w:t>” or “</w:t>
      </w:r>
      <w:r>
        <w:rPr>
          <w:rFonts w:ascii="Times New Roman" w:hAnsi="Times New Roman"/>
          <w:i/>
          <w:sz w:val="20"/>
        </w:rPr>
        <w:t>TIA</w:t>
      </w:r>
      <w:r>
        <w:rPr>
          <w:rFonts w:ascii="Times New Roman" w:hAnsi="Times New Roman"/>
          <w:sz w:val="20"/>
        </w:rPr>
        <w:t xml:space="preserve">” means the Trust Indenture Act of 1939, as amended (15 U.S.C. §§ 77aaa-77bbbb), as in effect on the Issue Date and, to the extent required by law, as amended </w:t>
      </w:r>
    </w:p>
    <w:p>
      <w:pPr>
        <w:pStyle w:val="TextBody"/>
        <w:bidi w:val="0"/>
        <w:spacing w:before="240" w:after="0"/>
        <w:jc w:val="left"/>
        <w:rPr/>
      </w:pPr>
      <w:r>
        <w:rPr/>
        <w:t>“</w:t>
      </w:r>
      <w:r>
        <w:rPr>
          <w:rFonts w:ascii="Times New Roman" w:hAnsi="Times New Roman"/>
          <w:i/>
          <w:sz w:val="20"/>
        </w:rPr>
        <w:t>Trustee</w:t>
      </w:r>
      <w:r>
        <w:rPr>
          <w:rFonts w:ascii="Times New Roman" w:hAnsi="Times New Roman"/>
          <w:sz w:val="20"/>
        </w:rPr>
        <w:t xml:space="preserve">” has the meaning set forth in the preamble of this Indenture and any successor thereto. </w:t>
      </w:r>
    </w:p>
    <w:p>
      <w:pPr>
        <w:pStyle w:val="TextBody"/>
        <w:bidi w:val="0"/>
        <w:spacing w:before="240" w:after="0"/>
        <w:jc w:val="left"/>
        <w:rPr/>
      </w:pPr>
      <w:r>
        <w:rPr/>
        <w:t>“</w:t>
      </w:r>
      <w:r>
        <w:rPr>
          <w:rFonts w:ascii="Times New Roman" w:hAnsi="Times New Roman"/>
          <w:i/>
          <w:sz w:val="20"/>
        </w:rPr>
        <w:t>Uniform Commercial Code</w:t>
      </w:r>
      <w:r>
        <w:rPr>
          <w:rFonts w:ascii="Times New Roman" w:hAnsi="Times New Roman"/>
          <w:sz w:val="20"/>
        </w:rPr>
        <w:t xml:space="preserve">” means the New York Uniform Commercial Code as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United States</w:t>
      </w:r>
      <w:r>
        <w:rPr>
          <w:rFonts w:ascii="Times New Roman" w:hAnsi="Times New Roman"/>
          <w:sz w:val="20"/>
        </w:rPr>
        <w:t>” or “</w:t>
      </w:r>
      <w:r>
        <w:rPr>
          <w:rFonts w:ascii="Times New Roman" w:hAnsi="Times New Roman"/>
          <w:i/>
          <w:sz w:val="20"/>
        </w:rPr>
        <w:t>U.S.</w:t>
      </w:r>
      <w:r>
        <w:rPr>
          <w:rFonts w:ascii="Times New Roman" w:hAnsi="Times New Roman"/>
          <w:sz w:val="20"/>
        </w:rPr>
        <w:t xml:space="preserve">” means the United States of America. </w:t>
      </w:r>
    </w:p>
    <w:p>
      <w:pPr>
        <w:pStyle w:val="TextBody"/>
        <w:bidi w:val="0"/>
        <w:spacing w:before="240" w:after="0"/>
        <w:jc w:val="left"/>
        <w:rPr/>
      </w:pPr>
      <w:r>
        <w:rPr/>
        <w:t>“</w:t>
      </w:r>
      <w:r>
        <w:rPr>
          <w:rFonts w:ascii="Times New Roman" w:hAnsi="Times New Roman"/>
          <w:i/>
          <w:sz w:val="20"/>
        </w:rPr>
        <w:t>U.S. Government Obligations</w:t>
      </w:r>
      <w:r>
        <w:rPr>
          <w:rFonts w:ascii="Times New Roman" w:hAnsi="Times New Roman"/>
          <w:sz w:val="20"/>
        </w:rPr>
        <w:t xml:space="preserve">” means direct non-callable obligations of, or guaranteed by, the United States for the payment of which guarantee or obligations the full faith and credit of the United States is pledged. </w:t>
      </w:r>
    </w:p>
    <w:p>
      <w:pPr>
        <w:pStyle w:val="TextBody"/>
        <w:bidi w:val="0"/>
        <w:spacing w:before="240" w:after="0"/>
        <w:jc w:val="left"/>
        <w:rPr/>
      </w:pPr>
      <w:r>
        <w:rPr/>
        <w:t>“</w:t>
      </w:r>
      <w:r>
        <w:rPr>
          <w:rFonts w:ascii="Times New Roman" w:hAnsi="Times New Roman"/>
          <w:i/>
          <w:sz w:val="20"/>
        </w:rPr>
        <w:t>Unrestricted Subsidiary</w:t>
      </w:r>
      <w:r>
        <w:rPr>
          <w:rFonts w:ascii="Times New Roman" w:hAnsi="Times New Roman"/>
          <w:sz w:val="20"/>
        </w:rPr>
        <w:t xml:space="preserve">” means: (1) any Subsidiary of the Issuer which at the time of determination shall be designated as an Unrestricted Subsidiary by the Issuer in the manner provided in Section 4.17 and (2) any Subsidiary of an Unrestricted Subsidiary.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means, with respect to any specified “person” (as that term is used in Section 13(d)(3) of the Exchange Act) as of any date, the capital stock of such person that is at the time entitled to vote generally in the election of the board of directors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Other Definitions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36"/>
        <w:gridCol w:w="101"/>
        <w:gridCol w:w="3368"/>
      </w:tblGrid>
      <w:tr>
        <w:trPr/>
        <w:tc>
          <w:tcPr>
            <w:tcW w:w="673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r>
      <w:tr>
        <w:trPr/>
        <w:tc>
          <w:tcPr>
            <w:tcW w:w="673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101" w:type="dxa"/>
            <w:tcBorders/>
            <w:vAlign w:val="bottom"/>
          </w:tcPr>
          <w:p>
            <w:pPr>
              <w:pStyle w:val="TableContents"/>
              <w:bidi w:val="0"/>
              <w:spacing w:before="0" w:after="283"/>
              <w:jc w:val="left"/>
              <w:rPr/>
            </w:pPr>
            <w:r>
              <w:rPr/>
              <w:t> </w:t>
            </w:r>
          </w:p>
        </w:tc>
        <w:tc>
          <w:tcPr>
            <w:tcW w:w="336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in Section</w:t>
            </w:r>
          </w:p>
        </w:tc>
      </w:tr>
      <w:tr>
        <w:trPr/>
        <w:tc>
          <w:tcPr>
            <w:tcW w:w="6736" w:type="dxa"/>
            <w:tcBorders/>
          </w:tcPr>
          <w:p>
            <w:pPr>
              <w:pStyle w:val="TableContents"/>
              <w:bidi w:val="0"/>
              <w:spacing w:before="0" w:after="283"/>
              <w:jc w:val="left"/>
              <w:rPr/>
            </w:pPr>
            <w:r>
              <w:rPr/>
              <w:t>“</w:t>
            </w:r>
            <w:r>
              <w:rPr/>
              <w:t>acceleration declaration”</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6.2</w:t>
            </w:r>
          </w:p>
        </w:tc>
      </w:tr>
      <w:tr>
        <w:trPr/>
        <w:tc>
          <w:tcPr>
            <w:tcW w:w="6736" w:type="dxa"/>
            <w:tcBorders/>
          </w:tcPr>
          <w:p>
            <w:pPr>
              <w:pStyle w:val="TableContents"/>
              <w:bidi w:val="0"/>
              <w:spacing w:before="0" w:after="283"/>
              <w:jc w:val="left"/>
              <w:rPr/>
            </w:pPr>
            <w:r>
              <w:rPr/>
              <w:t>“</w:t>
            </w:r>
            <w:r>
              <w:rPr/>
              <w:t>Act”</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11.12(a)</w:t>
            </w:r>
          </w:p>
        </w:tc>
      </w:tr>
      <w:tr>
        <w:trPr/>
        <w:tc>
          <w:tcPr>
            <w:tcW w:w="6736" w:type="dxa"/>
            <w:tcBorders/>
          </w:tcPr>
          <w:p>
            <w:pPr>
              <w:pStyle w:val="TableContents"/>
              <w:bidi w:val="0"/>
              <w:spacing w:before="0" w:after="283"/>
              <w:jc w:val="left"/>
              <w:rPr/>
            </w:pPr>
            <w:r>
              <w:rPr/>
              <w:t>“</w:t>
            </w:r>
            <w:r>
              <w:rPr/>
              <w:t>Authentication Order”</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2.2</w:t>
            </w:r>
          </w:p>
        </w:tc>
      </w:tr>
      <w:tr>
        <w:trPr/>
        <w:tc>
          <w:tcPr>
            <w:tcW w:w="6736" w:type="dxa"/>
            <w:tcBorders/>
          </w:tcPr>
          <w:p>
            <w:pPr>
              <w:pStyle w:val="TableContents"/>
              <w:bidi w:val="0"/>
              <w:spacing w:before="0" w:after="283"/>
              <w:jc w:val="left"/>
              <w:rPr/>
            </w:pPr>
            <w:r>
              <w:rPr/>
              <w:t>“</w:t>
            </w:r>
            <w:r>
              <w:rPr/>
              <w:t>balance sheet date”</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1.1</w:t>
            </w:r>
          </w:p>
        </w:tc>
      </w:tr>
      <w:tr>
        <w:trPr/>
        <w:tc>
          <w:tcPr>
            <w:tcW w:w="6736" w:type="dxa"/>
            <w:tcBorders/>
          </w:tcPr>
          <w:p>
            <w:pPr>
              <w:pStyle w:val="TableContents"/>
              <w:bidi w:val="0"/>
              <w:spacing w:before="0" w:after="283"/>
              <w:jc w:val="left"/>
              <w:rPr/>
            </w:pPr>
            <w:r>
              <w:rPr/>
              <w:t>“</w:t>
            </w:r>
            <w:r>
              <w:rPr/>
              <w:t>Cash Charges”</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1.1</w:t>
            </w:r>
          </w:p>
        </w:tc>
      </w:tr>
      <w:tr>
        <w:trPr/>
        <w:tc>
          <w:tcPr>
            <w:tcW w:w="6736" w:type="dxa"/>
            <w:tcBorders/>
          </w:tcPr>
          <w:p>
            <w:pPr>
              <w:pStyle w:val="TableContents"/>
              <w:bidi w:val="0"/>
              <w:spacing w:before="0" w:after="283"/>
              <w:jc w:val="left"/>
              <w:rPr/>
            </w:pPr>
            <w:r>
              <w:rPr/>
              <w:t>“</w:t>
            </w:r>
            <w:r>
              <w:rPr/>
              <w:t>Change of Control Offer”</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4.14(a)</w:t>
            </w:r>
          </w:p>
        </w:tc>
      </w:tr>
      <w:tr>
        <w:trPr/>
        <w:tc>
          <w:tcPr>
            <w:tcW w:w="6736" w:type="dxa"/>
            <w:tcBorders/>
          </w:tcPr>
          <w:p>
            <w:pPr>
              <w:pStyle w:val="TableContents"/>
              <w:bidi w:val="0"/>
              <w:spacing w:before="0" w:after="283"/>
              <w:jc w:val="left"/>
              <w:rPr/>
            </w:pPr>
            <w:r>
              <w:rPr/>
              <w:t>“</w:t>
            </w:r>
            <w:r>
              <w:rPr/>
              <w:t>Change of Control Payment”</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4.14(a)</w:t>
            </w:r>
          </w:p>
        </w:tc>
      </w:tr>
      <w:tr>
        <w:trPr/>
        <w:tc>
          <w:tcPr>
            <w:tcW w:w="6736" w:type="dxa"/>
            <w:tcBorders/>
          </w:tcPr>
          <w:p>
            <w:pPr>
              <w:pStyle w:val="TableContents"/>
              <w:bidi w:val="0"/>
              <w:spacing w:before="0" w:after="283"/>
              <w:jc w:val="left"/>
              <w:rPr/>
            </w:pPr>
            <w:r>
              <w:rPr/>
              <w:t>“</w:t>
            </w:r>
            <w:r>
              <w:rPr/>
              <w:t>Change of Control Payment Date”</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4.14(b)</w:t>
            </w:r>
          </w:p>
        </w:tc>
      </w:tr>
      <w:tr>
        <w:trPr/>
        <w:tc>
          <w:tcPr>
            <w:tcW w:w="6736" w:type="dxa"/>
            <w:tcBorders/>
          </w:tcPr>
          <w:p>
            <w:pPr>
              <w:pStyle w:val="TableContents"/>
              <w:bidi w:val="0"/>
              <w:spacing w:before="0" w:after="283"/>
              <w:jc w:val="left"/>
              <w:rPr/>
            </w:pPr>
            <w:r>
              <w:rPr/>
              <w:t>“</w:t>
            </w:r>
            <w:r>
              <w:rPr/>
              <w:t>Covenant Defeasance”</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8.3</w:t>
            </w:r>
          </w:p>
        </w:tc>
      </w:tr>
      <w:tr>
        <w:trPr/>
        <w:tc>
          <w:tcPr>
            <w:tcW w:w="6736" w:type="dxa"/>
            <w:tcBorders/>
          </w:tcPr>
          <w:p>
            <w:pPr>
              <w:pStyle w:val="TableContents"/>
              <w:bidi w:val="0"/>
              <w:spacing w:before="0" w:after="283"/>
              <w:jc w:val="left"/>
              <w:rPr/>
            </w:pPr>
            <w:r>
              <w:rPr/>
              <w:t>“</w:t>
            </w:r>
            <w:r>
              <w:rPr/>
              <w:t>Deposit Trustee”</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8.5</w:t>
            </w:r>
          </w:p>
        </w:tc>
      </w:tr>
      <w:tr>
        <w:trPr/>
        <w:tc>
          <w:tcPr>
            <w:tcW w:w="6736" w:type="dxa"/>
            <w:tcBorders/>
          </w:tcPr>
          <w:p>
            <w:pPr>
              <w:pStyle w:val="TableContents"/>
              <w:bidi w:val="0"/>
              <w:spacing w:before="0" w:after="283"/>
              <w:jc w:val="left"/>
              <w:rPr/>
            </w:pPr>
            <w:r>
              <w:rPr/>
              <w:t>“</w:t>
            </w:r>
            <w:r>
              <w:rPr/>
              <w:t>EDGAR”</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4.3(a)</w:t>
            </w:r>
          </w:p>
        </w:tc>
      </w:tr>
      <w:tr>
        <w:trPr/>
        <w:tc>
          <w:tcPr>
            <w:tcW w:w="6736" w:type="dxa"/>
            <w:tcBorders/>
          </w:tcPr>
          <w:p>
            <w:pPr>
              <w:pStyle w:val="TableContents"/>
              <w:bidi w:val="0"/>
              <w:spacing w:before="0" w:after="283"/>
              <w:jc w:val="left"/>
              <w:rPr/>
            </w:pPr>
            <w:r>
              <w:rPr/>
              <w:t>“</w:t>
            </w:r>
            <w:r>
              <w:rPr/>
              <w:t>Event of Default”</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6.1</w:t>
            </w:r>
          </w:p>
        </w:tc>
      </w:tr>
      <w:tr>
        <w:trPr/>
        <w:tc>
          <w:tcPr>
            <w:tcW w:w="6736" w:type="dxa"/>
            <w:tcBorders/>
          </w:tcPr>
          <w:p>
            <w:pPr>
              <w:pStyle w:val="TableContents"/>
              <w:bidi w:val="0"/>
              <w:spacing w:before="0" w:after="283"/>
              <w:jc w:val="left"/>
              <w:rPr/>
            </w:pPr>
            <w:r>
              <w:rPr/>
              <w:t>“</w:t>
            </w:r>
            <w:r>
              <w:rPr/>
              <w:t>Excess Proceeds”</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4.10(c)</w:t>
            </w:r>
          </w:p>
        </w:tc>
      </w:tr>
      <w:tr>
        <w:trPr/>
        <w:tc>
          <w:tcPr>
            <w:tcW w:w="6736" w:type="dxa"/>
            <w:tcBorders/>
          </w:tcPr>
          <w:p>
            <w:pPr>
              <w:pStyle w:val="TableContents"/>
              <w:bidi w:val="0"/>
              <w:spacing w:before="0" w:after="283"/>
              <w:jc w:val="left"/>
              <w:rPr/>
            </w:pPr>
            <w:r>
              <w:rPr/>
              <w:t>“</w:t>
            </w:r>
            <w:r>
              <w:rPr/>
              <w:t>Expiration Date”</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11.12(j)</w:t>
            </w:r>
          </w:p>
        </w:tc>
      </w:tr>
      <w:tr>
        <w:trPr/>
        <w:tc>
          <w:tcPr>
            <w:tcW w:w="6736" w:type="dxa"/>
            <w:tcBorders/>
          </w:tcPr>
          <w:p>
            <w:pPr>
              <w:pStyle w:val="TableContents"/>
              <w:bidi w:val="0"/>
              <w:spacing w:before="0" w:after="283"/>
              <w:jc w:val="left"/>
              <w:rPr/>
            </w:pPr>
            <w:r>
              <w:rPr/>
              <w:t>“</w:t>
            </w:r>
            <w:r>
              <w:rPr/>
              <w:t>H.15”</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1.1</w:t>
            </w:r>
          </w:p>
        </w:tc>
      </w:tr>
      <w:tr>
        <w:trPr/>
        <w:tc>
          <w:tcPr>
            <w:tcW w:w="6736" w:type="dxa"/>
            <w:tcBorders/>
          </w:tcPr>
          <w:p>
            <w:pPr>
              <w:pStyle w:val="TableContents"/>
              <w:bidi w:val="0"/>
              <w:spacing w:before="0" w:after="283"/>
              <w:jc w:val="left"/>
              <w:rPr/>
            </w:pPr>
            <w:r>
              <w:rPr/>
              <w:t>“</w:t>
            </w:r>
            <w:r>
              <w:rPr/>
              <w:t>Increased Amount”</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4.12(c)</w:t>
            </w:r>
          </w:p>
        </w:tc>
      </w:tr>
      <w:tr>
        <w:trPr/>
        <w:tc>
          <w:tcPr>
            <w:tcW w:w="6736" w:type="dxa"/>
            <w:tcBorders/>
          </w:tcPr>
          <w:p>
            <w:pPr>
              <w:pStyle w:val="TableContents"/>
              <w:bidi w:val="0"/>
              <w:spacing w:before="0" w:after="283"/>
              <w:jc w:val="left"/>
              <w:rPr/>
            </w:pPr>
            <w:r>
              <w:rPr/>
              <w:t>“</w:t>
            </w:r>
            <w:r>
              <w:rPr/>
              <w:t>Institutional Accredited Investor Note”</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2.1(b)</w:t>
            </w:r>
          </w:p>
        </w:tc>
      </w:tr>
      <w:tr>
        <w:trPr/>
        <w:tc>
          <w:tcPr>
            <w:tcW w:w="6736" w:type="dxa"/>
            <w:tcBorders/>
          </w:tcPr>
          <w:p>
            <w:pPr>
              <w:pStyle w:val="TableContents"/>
              <w:bidi w:val="0"/>
              <w:spacing w:before="0" w:after="283"/>
              <w:jc w:val="left"/>
              <w:rPr/>
            </w:pPr>
            <w:r>
              <w:rPr/>
              <w:t>“</w:t>
            </w:r>
            <w:r>
              <w:rPr/>
              <w:t>Issuer”</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Preamble</w:t>
            </w:r>
          </w:p>
        </w:tc>
      </w:tr>
      <w:tr>
        <w:trPr/>
        <w:tc>
          <w:tcPr>
            <w:tcW w:w="6736" w:type="dxa"/>
            <w:tcBorders/>
          </w:tcPr>
          <w:p>
            <w:pPr>
              <w:pStyle w:val="TableContents"/>
              <w:bidi w:val="0"/>
              <w:spacing w:before="0" w:after="283"/>
              <w:jc w:val="left"/>
              <w:rPr/>
            </w:pPr>
            <w:r>
              <w:rPr/>
              <w:t>“</w:t>
            </w:r>
            <w:r>
              <w:rPr/>
              <w:t>LCT Election”</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1.4</w:t>
            </w:r>
          </w:p>
        </w:tc>
      </w:tr>
      <w:tr>
        <w:trPr/>
        <w:tc>
          <w:tcPr>
            <w:tcW w:w="6736" w:type="dxa"/>
            <w:tcBorders/>
          </w:tcPr>
          <w:p>
            <w:pPr>
              <w:pStyle w:val="TableContents"/>
              <w:bidi w:val="0"/>
              <w:spacing w:before="0" w:after="283"/>
              <w:jc w:val="left"/>
              <w:rPr/>
            </w:pPr>
            <w:r>
              <w:rPr/>
              <w:t>“</w:t>
            </w:r>
            <w:r>
              <w:rPr/>
              <w:t>LCT Test Date”</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1.4</w:t>
            </w:r>
          </w:p>
        </w:tc>
      </w:tr>
      <w:tr>
        <w:trPr/>
        <w:tc>
          <w:tcPr>
            <w:tcW w:w="6736" w:type="dxa"/>
            <w:tcBorders/>
          </w:tcPr>
          <w:p>
            <w:pPr>
              <w:pStyle w:val="TableContents"/>
              <w:bidi w:val="0"/>
              <w:spacing w:before="0" w:after="283"/>
              <w:jc w:val="left"/>
              <w:rPr/>
            </w:pPr>
            <w:r>
              <w:rPr/>
              <w:t>“</w:t>
            </w:r>
            <w:r>
              <w:rPr/>
              <w:t>Legal Defeasance”</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8.2</w:t>
            </w:r>
          </w:p>
        </w:tc>
      </w:tr>
      <w:tr>
        <w:trPr/>
        <w:tc>
          <w:tcPr>
            <w:tcW w:w="6736" w:type="dxa"/>
            <w:tcBorders/>
          </w:tcPr>
          <w:p>
            <w:pPr>
              <w:pStyle w:val="TableContents"/>
              <w:bidi w:val="0"/>
              <w:spacing w:before="0" w:after="283"/>
              <w:jc w:val="left"/>
              <w:rPr/>
            </w:pPr>
            <w:r>
              <w:rPr/>
              <w:t>“</w:t>
            </w:r>
            <w:r>
              <w:rPr/>
              <w:t>Note Amount”</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4.10(c)(1)</w:t>
            </w:r>
          </w:p>
        </w:tc>
      </w:tr>
      <w:tr>
        <w:trPr/>
        <w:tc>
          <w:tcPr>
            <w:tcW w:w="6736" w:type="dxa"/>
            <w:tcBorders/>
          </w:tcPr>
          <w:p>
            <w:pPr>
              <w:pStyle w:val="TableContents"/>
              <w:bidi w:val="0"/>
              <w:spacing w:before="0" w:after="283"/>
              <w:jc w:val="left"/>
              <w:rPr/>
            </w:pPr>
            <w:r>
              <w:rPr/>
              <w:t>“</w:t>
            </w:r>
            <w:r>
              <w:rPr/>
              <w:t>Offered Price”</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4.10(c)</w:t>
            </w:r>
          </w:p>
        </w:tc>
      </w:tr>
      <w:tr>
        <w:trPr/>
        <w:tc>
          <w:tcPr>
            <w:tcW w:w="6736" w:type="dxa"/>
            <w:tcBorders/>
          </w:tcPr>
          <w:p>
            <w:pPr>
              <w:pStyle w:val="TableContents"/>
              <w:bidi w:val="0"/>
              <w:spacing w:before="0" w:after="283"/>
              <w:jc w:val="left"/>
              <w:rPr/>
            </w:pPr>
            <w:r>
              <w:rPr/>
              <w:t>“</w:t>
            </w:r>
            <w:r>
              <w:rPr/>
              <w:t>Par Call Date”</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3.7(a)</w:t>
            </w:r>
          </w:p>
        </w:tc>
      </w:tr>
      <w:tr>
        <w:trPr/>
        <w:tc>
          <w:tcPr>
            <w:tcW w:w="6736" w:type="dxa"/>
            <w:tcBorders/>
          </w:tcPr>
          <w:p>
            <w:pPr>
              <w:pStyle w:val="TableContents"/>
              <w:bidi w:val="0"/>
              <w:spacing w:before="0" w:after="283"/>
              <w:jc w:val="left"/>
              <w:rPr/>
            </w:pPr>
            <w:r>
              <w:rPr/>
              <w:t>“</w:t>
            </w:r>
            <w:r>
              <w:rPr/>
              <w:t>Pari Passu Debt Amount”</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4.10(c)(2)</w:t>
            </w:r>
          </w:p>
        </w:tc>
      </w:tr>
      <w:tr>
        <w:trPr/>
        <w:tc>
          <w:tcPr>
            <w:tcW w:w="6736" w:type="dxa"/>
            <w:tcBorders/>
          </w:tcPr>
          <w:p>
            <w:pPr>
              <w:pStyle w:val="TableContents"/>
              <w:bidi w:val="0"/>
              <w:spacing w:before="0" w:after="283"/>
              <w:jc w:val="left"/>
              <w:rPr/>
            </w:pPr>
            <w:r>
              <w:rPr/>
              <w:t>“</w:t>
            </w:r>
            <w:r>
              <w:rPr/>
              <w:t>Pari Passu Offer”</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4.10(c)(2)</w:t>
            </w:r>
          </w:p>
        </w:tc>
      </w:tr>
      <w:tr>
        <w:trPr/>
        <w:tc>
          <w:tcPr>
            <w:tcW w:w="6736" w:type="dxa"/>
            <w:tcBorders/>
          </w:tcPr>
          <w:p>
            <w:pPr>
              <w:pStyle w:val="TableContents"/>
              <w:bidi w:val="0"/>
              <w:spacing w:before="0" w:after="283"/>
              <w:jc w:val="left"/>
              <w:rPr/>
            </w:pPr>
            <w:r>
              <w:rPr/>
              <w:t>“</w:t>
            </w:r>
            <w:r>
              <w:rPr/>
              <w:t>Permitted Debt”</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4.9(b)</w:t>
            </w:r>
          </w:p>
        </w:tc>
      </w:tr>
      <w:tr>
        <w:trPr/>
        <w:tc>
          <w:tcPr>
            <w:tcW w:w="6736" w:type="dxa"/>
            <w:tcBorders/>
          </w:tcPr>
          <w:p>
            <w:pPr>
              <w:pStyle w:val="TableContents"/>
              <w:bidi w:val="0"/>
              <w:spacing w:before="0" w:after="283"/>
              <w:jc w:val="left"/>
              <w:rPr/>
            </w:pPr>
            <w:r>
              <w:rPr/>
              <w:t>“</w:t>
            </w:r>
            <w:r>
              <w:rPr/>
              <w:t>primary obligor”</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1.1</w:t>
            </w:r>
          </w:p>
        </w:tc>
      </w:tr>
      <w:tr>
        <w:trPr/>
        <w:tc>
          <w:tcPr>
            <w:tcW w:w="6736" w:type="dxa"/>
            <w:tcBorders/>
          </w:tcPr>
          <w:p>
            <w:pPr>
              <w:pStyle w:val="TableContents"/>
              <w:bidi w:val="0"/>
              <w:spacing w:before="0" w:after="283"/>
              <w:jc w:val="left"/>
              <w:rPr/>
            </w:pPr>
            <w:r>
              <w:rPr/>
              <w:t>“</w:t>
            </w:r>
            <w:r>
              <w:rPr/>
              <w:t>QIBs”</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2.1(b)(i)</w:t>
            </w:r>
          </w:p>
        </w:tc>
      </w:tr>
      <w:tr>
        <w:trPr/>
        <w:tc>
          <w:tcPr>
            <w:tcW w:w="6736" w:type="dxa"/>
            <w:tcBorders/>
          </w:tcPr>
          <w:p>
            <w:pPr>
              <w:pStyle w:val="TableContents"/>
              <w:bidi w:val="0"/>
              <w:spacing w:before="0" w:after="283"/>
              <w:jc w:val="left"/>
              <w:rPr/>
            </w:pPr>
            <w:r>
              <w:rPr/>
              <w:t>“</w:t>
            </w:r>
            <w:r>
              <w:rPr/>
              <w:t>Registrar”</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736"/>
        <w:gridCol w:w="101"/>
        <w:gridCol w:w="3368"/>
      </w:tblGrid>
      <w:tr>
        <w:trPr/>
        <w:tc>
          <w:tcPr>
            <w:tcW w:w="673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r>
      <w:tr>
        <w:trPr/>
        <w:tc>
          <w:tcPr>
            <w:tcW w:w="673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101" w:type="dxa"/>
            <w:tcBorders/>
            <w:vAlign w:val="bottom"/>
          </w:tcPr>
          <w:p>
            <w:pPr>
              <w:pStyle w:val="TableContents"/>
              <w:bidi w:val="0"/>
              <w:spacing w:before="0" w:after="283"/>
              <w:jc w:val="left"/>
              <w:rPr/>
            </w:pPr>
            <w:r>
              <w:rPr/>
              <w:t> </w:t>
            </w:r>
          </w:p>
        </w:tc>
        <w:tc>
          <w:tcPr>
            <w:tcW w:w="336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in Section</w:t>
            </w:r>
          </w:p>
        </w:tc>
      </w:tr>
      <w:tr>
        <w:trPr/>
        <w:tc>
          <w:tcPr>
            <w:tcW w:w="6736" w:type="dxa"/>
            <w:tcBorders/>
          </w:tcPr>
          <w:p>
            <w:pPr>
              <w:pStyle w:val="TableContents"/>
              <w:bidi w:val="0"/>
              <w:spacing w:before="0" w:after="283"/>
              <w:jc w:val="left"/>
              <w:rPr/>
            </w:pPr>
            <w:r>
              <w:rPr/>
              <w:t>“</w:t>
            </w:r>
            <w:r>
              <w:rPr/>
              <w:t>Regulation S”</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2.1(b)(ii)</w:t>
            </w:r>
          </w:p>
        </w:tc>
      </w:tr>
      <w:tr>
        <w:trPr/>
        <w:tc>
          <w:tcPr>
            <w:tcW w:w="6736" w:type="dxa"/>
            <w:tcBorders/>
          </w:tcPr>
          <w:p>
            <w:pPr>
              <w:pStyle w:val="TableContents"/>
              <w:bidi w:val="0"/>
              <w:spacing w:before="0" w:after="283"/>
              <w:jc w:val="left"/>
              <w:rPr/>
            </w:pPr>
            <w:r>
              <w:rPr/>
              <w:t>“</w:t>
            </w:r>
            <w:r>
              <w:rPr/>
              <w:t>Remaining Life”</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1.1</w:t>
            </w:r>
          </w:p>
        </w:tc>
      </w:tr>
      <w:tr>
        <w:trPr/>
        <w:tc>
          <w:tcPr>
            <w:tcW w:w="6736" w:type="dxa"/>
            <w:tcBorders/>
          </w:tcPr>
          <w:p>
            <w:pPr>
              <w:pStyle w:val="TableContents"/>
              <w:bidi w:val="0"/>
              <w:spacing w:before="0" w:after="283"/>
              <w:jc w:val="left"/>
              <w:rPr/>
            </w:pPr>
            <w:r>
              <w:rPr/>
              <w:t>“</w:t>
            </w:r>
            <w:r>
              <w:rPr/>
              <w:t>Resale Restriction Termination Date”</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2.15(a)</w:t>
            </w:r>
          </w:p>
        </w:tc>
      </w:tr>
      <w:tr>
        <w:trPr/>
        <w:tc>
          <w:tcPr>
            <w:tcW w:w="6736" w:type="dxa"/>
            <w:tcBorders/>
          </w:tcPr>
          <w:p>
            <w:pPr>
              <w:pStyle w:val="TableContents"/>
              <w:bidi w:val="0"/>
              <w:spacing w:before="0" w:after="283"/>
              <w:jc w:val="left"/>
              <w:rPr/>
            </w:pPr>
            <w:r>
              <w:rPr/>
              <w:t>“</w:t>
            </w:r>
            <w:r>
              <w:rPr/>
              <w:t>Restricted Payment”</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4.7(a)</w:t>
            </w:r>
          </w:p>
        </w:tc>
      </w:tr>
      <w:tr>
        <w:trPr/>
        <w:tc>
          <w:tcPr>
            <w:tcW w:w="6736" w:type="dxa"/>
            <w:tcBorders/>
          </w:tcPr>
          <w:p>
            <w:pPr>
              <w:pStyle w:val="TableContents"/>
              <w:bidi w:val="0"/>
              <w:spacing w:before="0" w:after="283"/>
              <w:jc w:val="left"/>
              <w:rPr/>
            </w:pPr>
            <w:r>
              <w:rPr/>
              <w:t>“</w:t>
            </w:r>
            <w:r>
              <w:rPr/>
              <w:t>Restricted Period”</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2.15(b)</w:t>
            </w:r>
          </w:p>
        </w:tc>
      </w:tr>
      <w:tr>
        <w:trPr/>
        <w:tc>
          <w:tcPr>
            <w:tcW w:w="6736" w:type="dxa"/>
            <w:tcBorders/>
          </w:tcPr>
          <w:p>
            <w:pPr>
              <w:pStyle w:val="TableContents"/>
              <w:bidi w:val="0"/>
              <w:spacing w:before="0" w:after="283"/>
              <w:jc w:val="left"/>
              <w:rPr/>
            </w:pPr>
            <w:r>
              <w:rPr/>
              <w:t>“</w:t>
            </w:r>
            <w:r>
              <w:rPr/>
              <w:t>Rule 144A”</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2.1(b)(i)</w:t>
            </w:r>
          </w:p>
        </w:tc>
      </w:tr>
      <w:tr>
        <w:trPr/>
        <w:tc>
          <w:tcPr>
            <w:tcW w:w="6736" w:type="dxa"/>
            <w:tcBorders/>
          </w:tcPr>
          <w:p>
            <w:pPr>
              <w:pStyle w:val="TableContents"/>
              <w:bidi w:val="0"/>
              <w:spacing w:before="0" w:after="283"/>
              <w:jc w:val="left"/>
              <w:rPr/>
            </w:pPr>
            <w:r>
              <w:rPr/>
              <w:t>“</w:t>
            </w:r>
            <w:r>
              <w:rPr/>
              <w:t>secured balance sheet date”</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1.1</w:t>
            </w:r>
          </w:p>
        </w:tc>
      </w:tr>
      <w:tr>
        <w:trPr/>
        <w:tc>
          <w:tcPr>
            <w:tcW w:w="6736" w:type="dxa"/>
            <w:tcBorders/>
          </w:tcPr>
          <w:p>
            <w:pPr>
              <w:pStyle w:val="TableContents"/>
              <w:bidi w:val="0"/>
              <w:spacing w:before="0" w:after="283"/>
              <w:jc w:val="left"/>
              <w:rPr/>
            </w:pPr>
            <w:r>
              <w:rPr/>
              <w:t>“</w:t>
            </w:r>
            <w:r>
              <w:rPr/>
              <w:t>Signature Law”</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11.10</w:t>
            </w:r>
          </w:p>
        </w:tc>
      </w:tr>
      <w:tr>
        <w:trPr/>
        <w:tc>
          <w:tcPr>
            <w:tcW w:w="6736" w:type="dxa"/>
            <w:tcBorders/>
          </w:tcPr>
          <w:p>
            <w:pPr>
              <w:pStyle w:val="TableContents"/>
              <w:bidi w:val="0"/>
              <w:spacing w:before="0" w:after="283"/>
              <w:jc w:val="left"/>
              <w:rPr/>
            </w:pPr>
            <w:r>
              <w:rPr/>
              <w:t>“</w:t>
            </w:r>
            <w:r>
              <w:rPr/>
              <w:t>Successor Company”</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5.1(a)(1)</w:t>
            </w:r>
          </w:p>
        </w:tc>
      </w:tr>
      <w:tr>
        <w:trPr/>
        <w:tc>
          <w:tcPr>
            <w:tcW w:w="6736" w:type="dxa"/>
            <w:tcBorders/>
          </w:tcPr>
          <w:p>
            <w:pPr>
              <w:pStyle w:val="TableContents"/>
              <w:bidi w:val="0"/>
              <w:spacing w:before="0" w:after="283"/>
              <w:jc w:val="left"/>
              <w:rPr/>
            </w:pPr>
            <w:r>
              <w:rPr/>
              <w:t>“</w:t>
            </w:r>
            <w:r>
              <w:rPr/>
              <w:t>Successor Subsidiary Guarantor”</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5.1(b)(1)(A)</w:t>
            </w:r>
          </w:p>
        </w:tc>
      </w:tr>
      <w:tr>
        <w:trPr/>
        <w:tc>
          <w:tcPr>
            <w:tcW w:w="6736" w:type="dxa"/>
            <w:tcBorders/>
          </w:tcPr>
          <w:p>
            <w:pPr>
              <w:pStyle w:val="TableContents"/>
              <w:bidi w:val="0"/>
              <w:spacing w:before="0" w:after="283"/>
              <w:jc w:val="left"/>
              <w:rPr/>
            </w:pPr>
            <w:r>
              <w:rPr/>
              <w:t>“</w:t>
            </w:r>
            <w:r>
              <w:rPr/>
              <w:t>Termination Date”</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4.18(a)</w:t>
            </w:r>
          </w:p>
        </w:tc>
      </w:tr>
      <w:tr>
        <w:trPr/>
        <w:tc>
          <w:tcPr>
            <w:tcW w:w="6736" w:type="dxa"/>
            <w:tcBorders/>
          </w:tcPr>
          <w:p>
            <w:pPr>
              <w:pStyle w:val="TableContents"/>
              <w:bidi w:val="0"/>
              <w:spacing w:before="0" w:after="283"/>
              <w:jc w:val="left"/>
              <w:rPr/>
            </w:pPr>
            <w:r>
              <w:rPr/>
              <w:t>“</w:t>
            </w:r>
            <w:r>
              <w:rPr/>
              <w:t>trigger period”</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pPr>
            <w:r>
              <w:rPr/>
              <w:t>1.1</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Rules of Construction</w:t>
      </w:r>
      <w:r>
        <w:rPr>
          <w:rFonts w:ascii="Times New Roman" w:hAnsi="Times New Roman"/>
          <w:sz w:val="20"/>
        </w:rPr>
        <w:t xml:space="preserve">. 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(1) a term has the meaning assigned to it herein; </w:t>
      </w:r>
    </w:p>
    <w:p>
      <w:pPr>
        <w:pStyle w:val="TextBody"/>
        <w:bidi w:val="0"/>
        <w:spacing w:before="120" w:after="0"/>
        <w:jc w:val="left"/>
        <w:rPr>
          <w:rFonts w:ascii="Times New Roman" w:hAnsi="Times New Roman"/>
          <w:sz w:val="20"/>
        </w:rPr>
      </w:pPr>
      <w:r>
        <w:rPr>
          <w:rFonts w:ascii="Times New Roman" w:hAnsi="Times New Roman"/>
          <w:sz w:val="20"/>
        </w:rPr>
        <w:t xml:space="preserve">(2) an accounting term not otherwise defined herein has the meaning assigned to it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(3) “or”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(4) words in the singular include the plural, and words in the plural include the singular; </w:t>
      </w:r>
    </w:p>
    <w:p>
      <w:pPr>
        <w:pStyle w:val="TextBody"/>
        <w:bidi w:val="0"/>
        <w:spacing w:before="120" w:after="0"/>
        <w:jc w:val="left"/>
        <w:rPr>
          <w:rFonts w:ascii="Times New Roman" w:hAnsi="Times New Roman"/>
          <w:sz w:val="20"/>
        </w:rPr>
      </w:pPr>
      <w:r>
        <w:rPr>
          <w:rFonts w:ascii="Times New Roman" w:hAnsi="Times New Roman"/>
          <w:sz w:val="20"/>
        </w:rPr>
        <w:t xml:space="preserve">(5) unless otherwise specified, any reference to Section, Article or Exhibit refers to such Section, Article or Exhibit, as the case may be,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(6) provisions apply to successive events and transactions; </w:t>
      </w:r>
    </w:p>
    <w:p>
      <w:pPr>
        <w:pStyle w:val="TextBody"/>
        <w:bidi w:val="0"/>
        <w:spacing w:before="120" w:after="0"/>
        <w:jc w:val="left"/>
        <w:rPr>
          <w:rFonts w:ascii="Times New Roman" w:hAnsi="Times New Roman"/>
          <w:sz w:val="20"/>
        </w:rPr>
      </w:pPr>
      <w:r>
        <w:rPr>
          <w:rFonts w:ascii="Times New Roman" w:hAnsi="Times New Roman"/>
          <w:sz w:val="20"/>
        </w:rPr>
        <w:t xml:space="preserve">(7) the words “herein,” “hereof” and “hereunder” and other words of similar import refer to this Indenture as a whole and not any particular Article, Section, clause or other subdivision; </w:t>
      </w:r>
    </w:p>
    <w:p>
      <w:pPr>
        <w:pStyle w:val="TextBody"/>
        <w:bidi w:val="0"/>
        <w:spacing w:before="120" w:after="0"/>
        <w:jc w:val="left"/>
        <w:rPr>
          <w:rFonts w:ascii="Times New Roman" w:hAnsi="Times New Roman"/>
          <w:sz w:val="20"/>
        </w:rPr>
      </w:pPr>
      <w:r>
        <w:rPr>
          <w:rFonts w:ascii="Times New Roman" w:hAnsi="Times New Roman"/>
          <w:sz w:val="20"/>
        </w:rPr>
        <w:t xml:space="preserve">(8) “including” means including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(9) references to sections of or rules under the Securities Act or the Exchange Act shall be deemed to include substitute, replacement or successor sections or rules adopted by the SEC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(10) unless otherwise provided, references to agreements and other instruments shall be deemed to include all amendments and other modifications to such agreements or instruments, but only to the extent such amendments and other modifications are not prohibited by the terms of this Indenture;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in the event that a transaction meets the criteria of more than one category of permitted transactions or listed exceptions, the Issuer may classify such transaction as it, in its sole discretion, determines.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Limited Condition Transactions</w:t>
      </w:r>
      <w:r>
        <w:rPr>
          <w:rFonts w:ascii="Times New Roman" w:hAnsi="Times New Roman"/>
          <w:sz w:val="20"/>
        </w:rPr>
        <w:t>. When calculating the availability under any basket or ratio under this Indenture or compliance with any provision of this Indenture in connection with any Limited Condition Transaction and any actions or transactions related thereto (including acquisitions, Investments, the Incurrence of Debt and the use of the proceeds thereof, the Incurrence of Liens, repayments, Restricted Payments and Asset Dispositions), in each case, at the option of the Issuer (the Issuer’s election to exercise such option, an “</w:t>
      </w:r>
      <w:r>
        <w:rPr>
          <w:rFonts w:ascii="Times New Roman" w:hAnsi="Times New Roman"/>
          <w:i/>
          <w:sz w:val="20"/>
        </w:rPr>
        <w:t>LCT Election</w:t>
      </w:r>
      <w:r>
        <w:rPr>
          <w:rFonts w:ascii="Times New Roman" w:hAnsi="Times New Roman"/>
          <w:sz w:val="20"/>
        </w:rPr>
        <w:t>”), the date of determination for availability under any such basket or ratio and whether any such action or transaction is permitted (or any requirement or condition therefor is complied with or satisfied (including as to the absence of any Default or Event of Default)) under this Indenture shall be deemed to be the date (the “</w:t>
      </w:r>
      <w:r>
        <w:rPr>
          <w:rFonts w:ascii="Times New Roman" w:hAnsi="Times New Roman"/>
          <w:i/>
          <w:sz w:val="20"/>
        </w:rPr>
        <w:t>LCT Test Date</w:t>
      </w:r>
      <w:r>
        <w:rPr>
          <w:rFonts w:ascii="Times New Roman" w:hAnsi="Times New Roman"/>
          <w:sz w:val="20"/>
        </w:rPr>
        <w:t xml:space="preserve">”) the definitive agreements for such Limited Condition Transaction are entered into, and if, after giving pro forma effect to the Limited Condition Transaction and any actions or transactions related thereto (including acquisitions, Investments, the Incurrence of Debt and the use of proceeds thereof, the Incurrence of Liens, repayments, Restricted Payments and Asset Dispositions) and any related pro forma adjustments, the Issuer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w:t>
      </w:r>
      <w:r>
        <w:rPr>
          <w:rFonts w:ascii="Times New Roman" w:hAnsi="Times New Roman"/>
          <w:sz w:val="20"/>
          <w:u w:val="single"/>
        </w:rPr>
        <w:t>provided</w:t>
      </w:r>
      <w:r>
        <w:rPr>
          <w:rFonts w:ascii="Times New Roman" w:hAnsi="Times New Roman"/>
          <w:sz w:val="20"/>
        </w:rPr>
        <w:t xml:space="preserve"> that (a) compliance with such ratios, tests or baskets (and any related requirements and conditions) shall not be determined or tested at any time after the applicable LCT Test Date for such Limited Condition Transaction and any actions or transactions related thereto (including acquisitions, Investments, the Incurrence of Debt and the use of proceeds thereof, the Incurrence of Liens, repayments, Restricted Payments and Asset Dispositions) and (b) Consolidated EBITDA for purposes of the Consolidated Fixed Charge Coverage Ratio, Secured Net Leverage Ratio and Total Net Leverage Ratio will be calculated using an assumed interest rate based on the indicative interest rate contained in any financing commitment documentation with respect to such Debt or, if no such indicative interest rate exists, as reasonably determined by the Issuer in good faith.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the Issuer has made an LCT Election, (1) 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Consolidated EBITDA of the Issuer, such baskets, tests or ratios will not be deemed to have been exceeded or failed to have been complied with as a result of such fluctuations (and no Default or Event of Default shall be deemed to have occurred due to such failure to comply), and (2) in calculating the availability under any ratio, test or basket in connection with any action or transaction unrelated to such Limited Condition Transaction following the relevant LCT Test Date and prior to the earlier of the date on which such Limited Condition Transaction is consummated and the date that the definitive agreement or date for redemption, purchase or repayment specified in an irrevocable notice for such Limited Condition Transaction is terminated, expires or passes, as applicable, without consummation of such Limited Condition Transaction, any such ratio, test or basket shall be determined or tested giving pro forma effect to such Limited Condition Transaction, including any Debt related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Form and Dating</w:t>
      </w:r>
      <w:r>
        <w:rPr>
          <w:rFonts w:ascii="Times New Roman" w:hAnsi="Times New Roman"/>
          <w:sz w:val="20"/>
        </w:rPr>
        <w:t xml:space="preserve">. The Notes shall be substantially in the form of Exhibit A attached hereto. The Notes may have notations, legends or endorsements required by law, stock exchange rule or usage. Each Note shall be dated the date of its authentication. The Notes will be issued in registered form, without coupons, and in minimum denominations of $2,000 and integral multiples of $1,000 in excess thereof. The registered Holder will be treated as the owner of such Note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The terms and provisions contained in the Notes shall constitute, and are hereby expressly made, a part of this Indenture, and the Issuer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 </w:t>
      </w:r>
    </w:p>
    <w:p>
      <w:pPr>
        <w:pStyle w:val="TextBody"/>
        <w:bidi w:val="0"/>
        <w:spacing w:before="120" w:after="0"/>
        <w:jc w:val="left"/>
        <w:rPr>
          <w:rFonts w:ascii="Times New Roman" w:hAnsi="Times New Roman"/>
          <w:sz w:val="20"/>
        </w:rPr>
      </w:pPr>
      <w:r>
        <w:rPr>
          <w:rFonts w:ascii="Times New Roman" w:hAnsi="Times New Roman"/>
          <w:sz w:val="20"/>
        </w:rPr>
        <w:t xml:space="preserve">(a) The Notes shall be issued initially in the form of one or more Global Notes, which shall be deposited on behalf of the purchasers of the Notes represented thereby with the Note Custodian, and registered in the name of the Depositary or a nominee of the Depositary, duly executed by the Issuer and authenticated by the Trustee as hereinafter provided. </w:t>
      </w:r>
    </w:p>
    <w:p>
      <w:pPr>
        <w:pStyle w:val="TextBody"/>
        <w:bidi w:val="0"/>
        <w:spacing w:before="120" w:after="0"/>
        <w:jc w:val="left"/>
        <w:rPr>
          <w:rFonts w:ascii="Times New Roman" w:hAnsi="Times New Roman"/>
          <w:sz w:val="20"/>
        </w:rPr>
      </w:pPr>
      <w:r>
        <w:rPr>
          <w:rFonts w:ascii="Times New Roman" w:hAnsi="Times New Roman"/>
          <w:sz w:val="20"/>
        </w:rPr>
        <w:t xml:space="preserve">Each Global Note shall represent such of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redemptions and transfers of interests. Any endorsement of a Global Note to reflect the amount of any increase or decrease in the amount of outstanding Notes represented thereby shall be made by the Trustee or the Note Custodian, at the direction of the Trustee, in accordance with instructions given by the Holder thereof as required by Section 2.6. </w:t>
      </w:r>
    </w:p>
    <w:p>
      <w:pPr>
        <w:pStyle w:val="TextBody"/>
        <w:bidi w:val="0"/>
        <w:spacing w:before="120" w:after="0"/>
        <w:jc w:val="left"/>
        <w:rPr>
          <w:rFonts w:ascii="Times New Roman" w:hAnsi="Times New Roman"/>
          <w:sz w:val="20"/>
        </w:rPr>
      </w:pPr>
      <w:r>
        <w:rPr>
          <w:rFonts w:ascii="Times New Roman" w:hAnsi="Times New Roman"/>
          <w:sz w:val="20"/>
        </w:rPr>
        <w:t>(b) The Initial Notes are being issued by the Issuer only (i) to “qualified institutional buyers” (as defined in Rule 144A under the Securities Act (“</w:t>
      </w:r>
      <w:r>
        <w:rPr>
          <w:rFonts w:ascii="Times New Roman" w:hAnsi="Times New Roman"/>
          <w:i/>
          <w:sz w:val="20"/>
        </w:rPr>
        <w:t>Rule 144A</w:t>
      </w:r>
      <w:r>
        <w:rPr>
          <w:rFonts w:ascii="Times New Roman" w:hAnsi="Times New Roman"/>
          <w:sz w:val="20"/>
        </w:rPr>
        <w:t>”)) (“</w:t>
      </w:r>
      <w:r>
        <w:rPr>
          <w:rFonts w:ascii="Times New Roman" w:hAnsi="Times New Roman"/>
          <w:i/>
          <w:sz w:val="20"/>
        </w:rPr>
        <w:t>QIBs</w:t>
      </w:r>
      <w:r>
        <w:rPr>
          <w:rFonts w:ascii="Times New Roman" w:hAnsi="Times New Roman"/>
          <w:sz w:val="20"/>
        </w:rPr>
        <w:t>”) and (ii) in reliance on Regulation S under the Securities Act (“</w:t>
      </w:r>
      <w:r>
        <w:rPr>
          <w:rFonts w:ascii="Times New Roman" w:hAnsi="Times New Roman"/>
          <w:i/>
          <w:sz w:val="20"/>
        </w:rPr>
        <w:t>Regulation S</w:t>
      </w:r>
      <w:r>
        <w:rPr>
          <w:rFonts w:ascii="Times New Roman" w:hAnsi="Times New Roman"/>
          <w:sz w:val="20"/>
        </w:rPr>
        <w:t xml:space="preserve">”). After such initial issuance, Initial Notes that are Transfer Restricted Notes may be transferred to QIBs in reliance on Rule 144A, outside the United States pursuant to Regulation S, to IAIs or to the Issuer, in accordance with certain transfer restrictions. Initial Notes that are offered in reliance on Rule 144A shall be issued in the form of one or more permanent Global Notes substantially in the form set forth in </w:t>
      </w:r>
      <w:r>
        <w:rPr>
          <w:rFonts w:ascii="Times New Roman" w:hAnsi="Times New Roman"/>
          <w:sz w:val="20"/>
          <w:u w:val="single"/>
        </w:rPr>
        <w:t>Exhibit A</w:t>
      </w:r>
      <w:r>
        <w:rPr>
          <w:rFonts w:ascii="Times New Roman" w:hAnsi="Times New Roman"/>
          <w:sz w:val="20"/>
        </w:rPr>
        <w:t xml:space="preserve"> and bear the Restricted Notes Legend, deposited with the Note Custodian, duly executed by the Issuer and authenticated by the Trustee as hereinafter provided. Initial Notes that are offered in offshore transactions in reliance on Regulation S shall be issued in the form of one or more permanent Global Notes substantially in the form set forth in </w:t>
      </w:r>
      <w:r>
        <w:rPr>
          <w:rFonts w:ascii="Times New Roman" w:hAnsi="Times New Roman"/>
          <w:sz w:val="20"/>
          <w:u w:val="single"/>
        </w:rPr>
        <w:t>Exhibit A</w:t>
      </w:r>
      <w:r>
        <w:rPr>
          <w:rFonts w:ascii="Times New Roman" w:hAnsi="Times New Roman"/>
          <w:sz w:val="20"/>
        </w:rPr>
        <w:t xml:space="preserve"> and bear the Regulation S Legend, deposited with the Note Custodian, duly executed by the Issuer and authenticated by the Trustee as hereinafter provided. Initial Notes resold to IAIs in the United States shall be issued in the form of one or more permanent Global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substantially in the form set forth in Exhibit A and bear the Restricted Notes Legend (collectively, the “</w:t>
      </w:r>
      <w:r>
        <w:rPr>
          <w:rFonts w:ascii="Times New Roman" w:hAnsi="Times New Roman"/>
          <w:i/>
          <w:sz w:val="20"/>
        </w:rPr>
        <w:t>Institutional Accredited Investor Note</w:t>
      </w:r>
      <w:r>
        <w:rPr>
          <w:rFonts w:ascii="Times New Roman" w:hAnsi="Times New Roman"/>
          <w:sz w:val="20"/>
        </w:rPr>
        <w:t xml:space="preserve">”), deposited with the Note Custodian, duly executed by the Issuer and authenticated by the Trustee as hereinafter provided. The aggregate principal amount of each Global Note may from time to time be increased or decreased by adjustments made on the records of the Note Custodian, at the direction of the Trustee. Transfers of Notes among QIBs, to or by purchasers pursuant to Regulation S and to or by IAIs shall be represented by appropriate increases and decreases to the respective amounts of the appropriate Global Notes, as more fully provided in Section 2.15. </w:t>
      </w:r>
    </w:p>
    <w:p>
      <w:pPr>
        <w:pStyle w:val="TextBody"/>
        <w:bidi w:val="0"/>
        <w:spacing w:before="120" w:after="0"/>
        <w:jc w:val="left"/>
        <w:rPr>
          <w:rFonts w:ascii="Times New Roman" w:hAnsi="Times New Roman"/>
          <w:sz w:val="20"/>
        </w:rPr>
      </w:pPr>
      <w:r>
        <w:rPr>
          <w:rFonts w:ascii="Times New Roman" w:hAnsi="Times New Roman"/>
          <w:sz w:val="20"/>
        </w:rPr>
        <w:t xml:space="preserve">(c) Section 2.1(b) shall apply only to Global Notes deposited with or on behalf of the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Issuer shall execute and the Trustee shall, in accordance with this Section 2.1 and Section 2.2, authenticate and deliver the Global Notes that (i) shall be registered in the name of the Depositary or the nominee of the Depositary and (ii) shall be delivered by the Trustee to the Depositary or pursuant to the Depositary’s instructions or held by the Note Custodian for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Execution and Authentication</w:t>
      </w:r>
      <w:r>
        <w:rPr>
          <w:rFonts w:ascii="Times New Roman" w:hAnsi="Times New Roman"/>
          <w:sz w:val="20"/>
        </w:rPr>
        <w:t xml:space="preserve">. An Officer shall sign the Notes for the Issuer by manual, electronic, facsimile or PDF transmission signature. </w:t>
      </w:r>
    </w:p>
    <w:p>
      <w:pPr>
        <w:pStyle w:val="TextBody"/>
        <w:bidi w:val="0"/>
        <w:spacing w:before="240" w:after="0"/>
        <w:jc w:val="left"/>
        <w:rPr>
          <w:rFonts w:ascii="Times New Roman" w:hAnsi="Times New Roman"/>
          <w:sz w:val="20"/>
        </w:rPr>
      </w:pPr>
      <w:r>
        <w:rPr>
          <w:rFonts w:ascii="Times New Roman" w:hAnsi="Times New Roman"/>
          <w:sz w:val="20"/>
        </w:rPr>
        <w:t xml:space="preserve">If an Officer whose signature is on a Note no longer holds that office at the time a Note is authenticated, the Note shall nevertheless be valid. </w:t>
      </w:r>
    </w:p>
    <w:p>
      <w:pPr>
        <w:pStyle w:val="TextBody"/>
        <w:bidi w:val="0"/>
        <w:spacing w:before="240" w:after="0"/>
        <w:jc w:val="left"/>
        <w:rPr>
          <w:rFonts w:ascii="Times New Roman" w:hAnsi="Times New Roman"/>
          <w:sz w:val="20"/>
        </w:rPr>
      </w:pPr>
      <w:r>
        <w:rPr>
          <w:rFonts w:ascii="Times New Roman" w:hAnsi="Times New Roman"/>
          <w:sz w:val="20"/>
        </w:rPr>
        <w:t xml:space="preserve">A Note shall not be valid until authenticated by the manual or electronic signature of a Responsible Officer of the Trustee. The signature of a Responsible Officer of the Trustee shall be conclusive evidence that the Note has been authenticated under this Indenture. </w:t>
      </w:r>
    </w:p>
    <w:p>
      <w:pPr>
        <w:pStyle w:val="TextBody"/>
        <w:bidi w:val="0"/>
        <w:spacing w:before="240" w:after="0"/>
        <w:jc w:val="left"/>
        <w:rPr>
          <w:rFonts w:ascii="Times New Roman" w:hAnsi="Times New Roman"/>
          <w:sz w:val="20"/>
        </w:rPr>
      </w:pPr>
      <w:r>
        <w:rPr>
          <w:rFonts w:ascii="Times New Roman" w:hAnsi="Times New Roman"/>
          <w:sz w:val="20"/>
        </w:rPr>
        <w:t>The Trustee shall, upon receipt of a written order of the Issuer signed by an Officer of the Issuer (an “</w:t>
      </w:r>
      <w:r>
        <w:rPr>
          <w:rFonts w:ascii="Times New Roman" w:hAnsi="Times New Roman"/>
          <w:i/>
          <w:sz w:val="20"/>
        </w:rPr>
        <w:t>Authentication Order</w:t>
      </w:r>
      <w:r>
        <w:rPr>
          <w:rFonts w:ascii="Times New Roman" w:hAnsi="Times New Roman"/>
          <w:sz w:val="20"/>
        </w:rPr>
        <w:t xml:space="preserve">”) directing the Trustee to authenticate the Notes and an Officer’s Certificate and Opinion of Counsel stating that all conditions precedent to the issuance of the Notes contained herein have been complied with, authenticate Notes for original issue in the aggregate principal amount stated in such written order.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appoint an authenticating agent reasonably acceptable to the Issuer to authenticate Notes. Unless limited by the terms of such appointment, an authenticating agent may authenticate Notes whenever the Trustee may do so. Each reference in this Indenture to authentication by the Trustee includes authentication by such agent or agents. An authenticating agent has the same rights as an Agent to deal with Holders or the Issuer.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Registrar; Paying Agent</w:t>
      </w:r>
      <w:r>
        <w:rPr>
          <w:rFonts w:ascii="Times New Roman" w:hAnsi="Times New Roman"/>
          <w:sz w:val="20"/>
        </w:rPr>
        <w:t>. The Issuer shall maintain (i) an office or agency where Notes may be presented for registration of transfer or for exchange (“</w:t>
      </w:r>
      <w:r>
        <w:rPr>
          <w:rFonts w:ascii="Times New Roman" w:hAnsi="Times New Roman"/>
          <w:i/>
          <w:sz w:val="20"/>
        </w:rPr>
        <w:t>Registrar</w:t>
      </w:r>
      <w:r>
        <w:rPr>
          <w:rFonts w:ascii="Times New Roman" w:hAnsi="Times New Roman"/>
          <w:sz w:val="20"/>
        </w:rPr>
        <w:t xml:space="preserve">”) and (ii) an office or agency where Notes may be presented for payment to a Paying Agent. The Registrar shall keep a register of the Notes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and/or any Restricted Subsidiary may act as Paying Agent or Registrar.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Issuer shall notify the Trustee in writing, and the Trustee shall notify the Holders, of the name and address of any Agent not a party to this Indenture. The Issuer shall enter into an appropriate agency agreement with any Agent not a party to this Indenture. If the Issuer fails to appoint or maintain a Registrar or Paying Agent, or fails to give the foregoing notice, the Trustee shall act as such, and shall be entitled to appropriate compensation in accordance with Section 7.6. </w:t>
      </w:r>
    </w:p>
    <w:p>
      <w:pPr>
        <w:pStyle w:val="TextBody"/>
        <w:bidi w:val="0"/>
        <w:spacing w:before="240" w:after="0"/>
        <w:jc w:val="left"/>
        <w:rPr>
          <w:rFonts w:ascii="Times New Roman" w:hAnsi="Times New Roman"/>
          <w:sz w:val="20"/>
        </w:rPr>
      </w:pPr>
      <w:r>
        <w:rPr>
          <w:rFonts w:ascii="Times New Roman" w:hAnsi="Times New Roman"/>
          <w:sz w:val="20"/>
        </w:rPr>
        <w:t xml:space="preserve">The Issuer initially appoints the Trustee to act as the Registrar and Paying Agent at the Corporate Trust Office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Issuer initially appoints DTC to act as the Depositary with respect to the Global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Paying Agent to Hold Money in Trust</w:t>
      </w:r>
      <w:r>
        <w:rPr>
          <w:rFonts w:ascii="Times New Roman" w:hAnsi="Times New Roman"/>
          <w:sz w:val="20"/>
        </w:rPr>
        <w:t xml:space="preserve">. The Issuer shall require each Paying Agent other than the Trustee to agree in writing that the Paying Agent shall hold in trust for the benefit of the Holders or the Trustee all money held by the Paying Agent for the payment of principal, premium or interest on the Notes, and shall notify the Trustee of any Default by the Issuer in making any such payment. While any such Default continues, the Trustee may require a Paying Agent to pay to the Trustee all money held by it in trust for the benefit of the Holders or the Trustee. The Issuer at any time may require a Paying Agent to pay all money held by it in trust for the benefit of the Holders or the Trustee to the Trustee. Upon payment over to the Trustee, the Paying Agent (if other than the Issuer or any of its Subsidiaries) shall have no further liability for such money. If the Issuer or any of its Subsidiaries acts as Paying Agent, it shall segregate and hold in a separate trust fund for the benefit of the Holders all money held by it as Paying Agent. Upon the occurrence of any of the events specified in Section 6.1, the Trustee shall serve as Paying Agent for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Holder Lists</w:t>
      </w:r>
      <w:r>
        <w:rPr>
          <w:rFonts w:ascii="Times New Roman" w:hAnsi="Times New Roman"/>
          <w:sz w:val="20"/>
        </w:rPr>
        <w:t xml:space="preserve">. The Trustee shall preserve in as current a form as is reasonably practicable the most recent list available to it of the names and addresses of all Holders. If the Trustee is not the Registrar, the Issuer shall furnish to the Trustee at least seven (7) Business Days before each interest payment date and at such other times as the Trustee may request in writing, a list in such form and as of such date as the Trustee may reasonably require of the names and addresses of the Holders, including the aggregate principal amount of the Notes held by each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Book-Entry Provisions for Global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Global Note shall (i) be registered in the name of the Depositary for such Global Notes or the nominee of such Depositary, (ii) be delivered by the Trustee to the Depositary or pursuant to the Depositary’s instructions or held by the Note Custodian for the Depositary and (iii) bear the Global Note legends as required by Section 2.6(e). </w:t>
      </w:r>
    </w:p>
    <w:p>
      <w:pPr>
        <w:pStyle w:val="TextBody"/>
        <w:bidi w:val="0"/>
        <w:spacing w:before="120" w:after="0"/>
        <w:jc w:val="left"/>
        <w:rPr>
          <w:rFonts w:ascii="Times New Roman" w:hAnsi="Times New Roman"/>
          <w:sz w:val="20"/>
        </w:rPr>
      </w:pPr>
      <w:r>
        <w:rPr>
          <w:rFonts w:ascii="Times New Roman" w:hAnsi="Times New Roman"/>
          <w:sz w:val="20"/>
        </w:rPr>
        <w:t xml:space="preserve">Members of, or Participants in, the Depositary shall have no rights under this Indenture with respect to any Global Note held on their behalf by the Depositary, or the Note Custodian, or under such Global Note, and the Depositary may be treated by the Issuer, and the Trustee or any Agent and any of their respective agents, as the absolute owner of such Global Note for all purposes whatsoever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nothing herein shall prevent the Issuer, the Trustee or any Agent or their respective agents from giving effect to any written certification, proxy or other authorization furnished by the Depositary or impair, as between the Depositary and its Participants, the operation of customary practices governing the exercise of the rights of an owner of a beneficial interest in any Global Note. </w:t>
      </w:r>
    </w:p>
    <w:p>
      <w:pPr>
        <w:pStyle w:val="TextBody"/>
        <w:bidi w:val="0"/>
        <w:spacing w:before="120" w:after="0"/>
        <w:jc w:val="left"/>
        <w:rPr>
          <w:rFonts w:ascii="Times New Roman" w:hAnsi="Times New Roman"/>
          <w:sz w:val="20"/>
        </w:rPr>
      </w:pPr>
      <w:r>
        <w:rPr>
          <w:rFonts w:ascii="Times New Roman" w:hAnsi="Times New Roman"/>
          <w:sz w:val="20"/>
        </w:rPr>
        <w:t xml:space="preserve">Neither the Trustee nor any Agent shall have any responsibility or obligation to any Holder that is a member of (or a Participant in) the Depositary or any other Person with respect to the accuracy of the records of the Depositary (or its nominee) or of any member or Participant thereof, with respect to any ownership interest in the Notes or with respect to the delivery of any notice (including any notice of redemption) or the payment of any amount or delivery of any Notes (or other security or property) under or with respect to the Notes. The Trustee and any Agent may rely (and shall be fully protected in relying) upon information furnished by the Depositary with respect to its members, Participants and any beneficial owners in the Notes. </w:t>
      </w:r>
    </w:p>
    <w:p>
      <w:pPr>
        <w:pStyle w:val="TextBody"/>
        <w:bidi w:val="0"/>
        <w:spacing w:before="120" w:after="0"/>
        <w:jc w:val="left"/>
        <w:rPr>
          <w:rFonts w:ascii="Times New Roman" w:hAnsi="Times New Roman"/>
          <w:sz w:val="20"/>
        </w:rPr>
      </w:pPr>
      <w:r>
        <w:rPr>
          <w:rFonts w:ascii="Times New Roman" w:hAnsi="Times New Roman"/>
          <w:sz w:val="20"/>
        </w:rPr>
        <w:t xml:space="preserve">Neither the Trustee nor any Agent shall have any responsibility for any actions taken or not taken by the Depositary. </w:t>
      </w:r>
    </w:p>
    <w:p>
      <w:pPr>
        <w:pStyle w:val="TextBody"/>
        <w:bidi w:val="0"/>
        <w:spacing w:before="120" w:after="0"/>
        <w:jc w:val="left"/>
        <w:rPr>
          <w:rFonts w:ascii="Times New Roman" w:hAnsi="Times New Roman"/>
          <w:sz w:val="20"/>
        </w:rPr>
      </w:pPr>
      <w:r>
        <w:rPr>
          <w:rFonts w:ascii="Times New Roman" w:hAnsi="Times New Roman"/>
          <w:sz w:val="20"/>
        </w:rPr>
        <w:t xml:space="preserve">(b) Transfers of a Global Note shall be limited to transfers of such Global Note in whole, but not in part, to the Depositary, its successors or their respective nominees. Interests of beneficial owners in a Global Note may be transferred in accordance with Section 2.15 and the rules and procedures of the Depositary. In addition, certificated Notes shall be transferred to beneficial owners in exchange for their beneficial interests only if (i) the Depositary notifies the Issuer that it is unwilling or unable to continue as Depositary for the Global Notes and a successor depositary is not appointed by the Issuer within 90 days of such notice, (ii) the Depositary ceases to be a “clearing agency” registered under the Exchange Act and a successor depositary is not appointed by the Issuer within 90 days of such notice, (iii) an Event of Default of which a Responsible Officer of the Trustee has written notice has occurred and is continuing and the Registrar has received a request from any Holder of a Global Note to issue such certificated Notes or (iv) the Issuer, in its sole discretion, notify the Trustee in writing that they elect to cause the issuance of 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(c) In connection with the transfer of an entire Global Note to beneficial owners pursuant to Section 2.6(b), such Global Note shall be deemed to be surrendered to the Trustee for cancellation, and the Issuer shall execute, and the Trustee shall authenticate and deliver to each beneficial owner identified by the Depositary in exchange for its beneficial interest in such Global Note an equal aggregate principal amount of certificated Notes of authorized denominations. </w:t>
      </w:r>
    </w:p>
    <w:p>
      <w:pPr>
        <w:pStyle w:val="TextBody"/>
        <w:bidi w:val="0"/>
        <w:spacing w:before="120" w:after="0"/>
        <w:jc w:val="left"/>
        <w:rPr>
          <w:rFonts w:ascii="Times New Roman" w:hAnsi="Times New Roman"/>
          <w:sz w:val="20"/>
        </w:rPr>
      </w:pPr>
      <w:r>
        <w:rPr>
          <w:rFonts w:ascii="Times New Roman" w:hAnsi="Times New Roman"/>
          <w:sz w:val="20"/>
        </w:rPr>
        <w:t xml:space="preserve">(d) The registered Holder of a Global Note may grant proxies and otherwise authorize any Person, including Participants and Persons that may hold interests through Participants, to take any action which a Holder is entitled to take under this Indenture or the Notes. </w:t>
      </w:r>
    </w:p>
    <w:p>
      <w:pPr>
        <w:pStyle w:val="TextBody"/>
        <w:bidi w:val="0"/>
        <w:spacing w:before="120" w:after="0"/>
        <w:jc w:val="left"/>
        <w:rPr>
          <w:rFonts w:ascii="Times New Roman" w:hAnsi="Times New Roman"/>
          <w:sz w:val="20"/>
        </w:rPr>
      </w:pPr>
      <w:r>
        <w:rPr>
          <w:rFonts w:ascii="Times New Roman" w:hAnsi="Times New Roman"/>
          <w:sz w:val="20"/>
        </w:rPr>
        <w:t xml:space="preserve">(e) Each Global Note shall bear the Global Note Legend on the face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At such time as all beneficial interests in Global Notes have been exchanged for certificated Notes, redeemed, repurchased or cancelled, all Global Notes shall be returned to or retained and cancelled by the Trustee in accordance with Section 2.11. At any time prior to such cancellation, if any beneficial interest in a Global Note is exchanged for certificated Notes, redeemed, repurchased or cancelled, the principal amount of Notes represented by such Global Note shall be reduced accordingly and an endorsement shall be made on such Global Note, by the Trustee or the Note Custodian, at the direction of the Trustee, to reflect such reduction. </w:t>
      </w:r>
    </w:p>
    <w:p>
      <w:pPr>
        <w:pStyle w:val="TextBody"/>
        <w:bidi w:val="0"/>
        <w:spacing w:before="120" w:after="0"/>
        <w:jc w:val="left"/>
        <w:rPr>
          <w:rFonts w:ascii="Times New Roman" w:hAnsi="Times New Roman"/>
          <w:sz w:val="20"/>
        </w:rPr>
      </w:pPr>
      <w:r>
        <w:rPr>
          <w:rFonts w:ascii="Times New Roman" w:hAnsi="Times New Roman"/>
          <w:sz w:val="20"/>
        </w:rPr>
        <w:t xml:space="preserve">(g) General Provisions Relating to Transfers and Exchanges. </w:t>
      </w:r>
    </w:p>
    <w:p>
      <w:pPr>
        <w:pStyle w:val="TextBody"/>
        <w:bidi w:val="0"/>
        <w:spacing w:before="120" w:after="0"/>
        <w:jc w:val="left"/>
        <w:rPr>
          <w:rFonts w:ascii="Times New Roman" w:hAnsi="Times New Roman"/>
          <w:sz w:val="20"/>
        </w:rPr>
      </w:pPr>
      <w:r>
        <w:rPr>
          <w:rFonts w:ascii="Times New Roman" w:hAnsi="Times New Roman"/>
          <w:sz w:val="20"/>
        </w:rPr>
        <w:t xml:space="preserve">(1) To permit registrations of transfers and exchanges, the Issuer shall execute and the Trustee shall authenticate Global Notes and certificated Notes upon receipt of an Authentication Order in accordance with Section 2.2 or at the Registrar’s request. </w:t>
      </w:r>
    </w:p>
    <w:p>
      <w:pPr>
        <w:pStyle w:val="TextBody"/>
        <w:bidi w:val="0"/>
        <w:spacing w:before="120" w:after="0"/>
        <w:jc w:val="left"/>
        <w:rPr>
          <w:rFonts w:ascii="Times New Roman" w:hAnsi="Times New Roman"/>
          <w:sz w:val="20"/>
        </w:rPr>
      </w:pPr>
      <w:r>
        <w:rPr>
          <w:rFonts w:ascii="Times New Roman" w:hAnsi="Times New Roman"/>
          <w:sz w:val="20"/>
        </w:rPr>
        <w:t xml:space="preserve">(2) No service charge shall be made to a Holder for any registration of transfer or exchange, but the Issuer may require payment of a sum sufficient to cover any stamp or transfer tax or similar governmental charge payable in connection therewith (other than any such stamp or transfer taxes or similar governmental charge payable upon exchange or transfer pursuant to Section 2.7, Section 2.10, Section 3.6, Section 4.10, Section 4.14 or Section 9.4). </w:t>
      </w:r>
    </w:p>
    <w:p>
      <w:pPr>
        <w:pStyle w:val="TextBody"/>
        <w:bidi w:val="0"/>
        <w:spacing w:before="120" w:after="0"/>
        <w:jc w:val="left"/>
        <w:rPr>
          <w:rFonts w:ascii="Times New Roman" w:hAnsi="Times New Roman"/>
          <w:sz w:val="20"/>
        </w:rPr>
      </w:pPr>
      <w:r>
        <w:rPr>
          <w:rFonts w:ascii="Times New Roman" w:hAnsi="Times New Roman"/>
          <w:sz w:val="20"/>
        </w:rPr>
        <w:t xml:space="preserve">(3) All Global Notes and certificated Notes issued upon any registration of transfer or exchange of Global Notes or certificated Notes shall be the valid obligations of the Issuer, evidencing the same debt, and entitled to the same benefits under this Indenture, as the Global Notes (or interests therein) or certificated Notes surrendered upon such registration of transfer or exchange. </w:t>
      </w:r>
    </w:p>
    <w:p>
      <w:pPr>
        <w:pStyle w:val="TextBody"/>
        <w:bidi w:val="0"/>
        <w:spacing w:before="120" w:after="0"/>
        <w:jc w:val="left"/>
        <w:rPr>
          <w:rFonts w:ascii="Times New Roman" w:hAnsi="Times New Roman"/>
          <w:sz w:val="20"/>
        </w:rPr>
      </w:pPr>
      <w:r>
        <w:rPr>
          <w:rFonts w:ascii="Times New Roman" w:hAnsi="Times New Roman"/>
          <w:sz w:val="20"/>
        </w:rPr>
        <w:t xml:space="preserve">(4) The Registrar is not required (A) to issue, to register the transfer of or to exchange Notes during a period beginning at the opening of business 15 days before the day of any selection of Notes under Section 3.2 hereof and ending at the close of business on the day of such selection, (B) to register the transfer of or to exchange any Note so selected for redemption in whole or in part, except the unredeemed portion of any Note being redeemed in part, or (C) to register the transfer of or to exchange a Note between a record date and the next succeeding interest payment date. </w:t>
      </w:r>
    </w:p>
    <w:p>
      <w:pPr>
        <w:pStyle w:val="TextBody"/>
        <w:bidi w:val="0"/>
        <w:spacing w:before="120" w:after="0"/>
        <w:jc w:val="left"/>
        <w:rPr>
          <w:rFonts w:ascii="Times New Roman" w:hAnsi="Times New Roman"/>
          <w:sz w:val="20"/>
        </w:rPr>
      </w:pPr>
      <w:r>
        <w:rPr>
          <w:rFonts w:ascii="Times New Roman" w:hAnsi="Times New Roman"/>
          <w:sz w:val="20"/>
        </w:rPr>
        <w:t xml:space="preserve">(5) 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The Trustee shall authenticate Global Notes and certificated Notes in accordance with the provisions of Section 2.2. Except as provided in Section 2.6(b), neither the Trustee nor the Registrar shall authenticate or deliver any certificated Note in exchange for a Global Note. </w:t>
      </w:r>
    </w:p>
    <w:p>
      <w:pPr>
        <w:pStyle w:val="TextBody"/>
        <w:bidi w:val="0"/>
        <w:spacing w:before="120" w:after="0"/>
        <w:jc w:val="left"/>
        <w:rPr>
          <w:rFonts w:ascii="Times New Roman" w:hAnsi="Times New Roman"/>
          <w:sz w:val="20"/>
        </w:rPr>
      </w:pPr>
      <w:r>
        <w:rPr>
          <w:rFonts w:ascii="Times New Roman" w:hAnsi="Times New Roman"/>
          <w:sz w:val="20"/>
        </w:rPr>
        <w:t xml:space="preserve">(7) Each Holder agrees to indemnify the Issuer and the Trustee against any liability that may result from the transfer, exchange or assignment of such Holder’s Note in violation of any provision of this Indenture and/or applicable United States federal or state securities law. </w:t>
      </w:r>
    </w:p>
    <w:p>
      <w:pPr>
        <w:pStyle w:val="TextBody"/>
        <w:bidi w:val="0"/>
        <w:spacing w:before="120" w:after="0"/>
        <w:jc w:val="left"/>
        <w:rPr>
          <w:rFonts w:ascii="Times New Roman" w:hAnsi="Times New Roman"/>
          <w:sz w:val="20"/>
        </w:rPr>
      </w:pPr>
      <w:r>
        <w:rPr>
          <w:rFonts w:ascii="Times New Roman" w:hAnsi="Times New Roman"/>
          <w:sz w:val="20"/>
        </w:rPr>
        <w:t xml:space="preserve">(8) Neither the Trustee nor any Agent shall have any obligation or duty to monitor, determine or inquire as to compliance with any restrictions on transfer imposed under this Indenture or under applicable law with respect to any transfer of any interest in any Note (including any transfers between or among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120" w:after="0"/>
        <w:jc w:val="left"/>
        <w:rPr>
          <w:rFonts w:ascii="Times New Roman" w:hAnsi="Times New Roman"/>
          <w:sz w:val="20"/>
        </w:rPr>
      </w:pPr>
      <w:r>
        <w:rPr>
          <w:rFonts w:ascii="Times New Roman" w:hAnsi="Times New Roman"/>
          <w:sz w:val="20"/>
        </w:rPr>
        <w:t xml:space="preserve">(9) The transferor of any Note held in certificated form shall provide or cause to be provided to the Trustee all information necessary to allow the Trustee to comply with any applicable tax reporting obligations, including without limitation any cost basis reporting obligations under Section 6045 of the Code. The Trustee may rely on information provided to it and shall have no responsibility to verify or ensure the accuracy of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Replacement Notes</w:t>
      </w:r>
      <w:r>
        <w:rPr>
          <w:rFonts w:ascii="Times New Roman" w:hAnsi="Times New Roman"/>
          <w:sz w:val="20"/>
        </w:rPr>
        <w:t xml:space="preserve">. If any mutilated Note is surrendered to the Trustee, the Registrar or the Issuer and the Trustee receives evidence to its satisfaction of the ownership and destruction, loss or theft of any Note, the Issuer shall issue and the Trustee, upon receipt of an Authentication Order, shall authenticate a replacement Note if the Trustee’s requirements are met. If required by the Trustee or the Issuer, an indemnity bond must be supplied by the Holder that is sufficient in the judgment of the Trustee and the Issuer to protect the Issuer, the Trustee, any Agent and any authenticating agent from any loss that any of them may suffer if a Note is replaced. The Issuer, the Trustee and the Agents may charge for their expenses in replacing a Note. </w:t>
      </w:r>
    </w:p>
    <w:p>
      <w:pPr>
        <w:pStyle w:val="TextBody"/>
        <w:bidi w:val="0"/>
        <w:spacing w:before="240" w:after="0"/>
        <w:jc w:val="left"/>
        <w:rPr>
          <w:rFonts w:ascii="Times New Roman" w:hAnsi="Times New Roman"/>
          <w:sz w:val="20"/>
        </w:rPr>
      </w:pPr>
      <w:r>
        <w:rPr>
          <w:rFonts w:ascii="Times New Roman" w:hAnsi="Times New Roman"/>
          <w:sz w:val="20"/>
        </w:rPr>
        <w:t xml:space="preserve">Every replacement Note is an additional obligation of the Issuer and shall be entitled to all of the benefits of this Indenture equally and proportionately with all other Notes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Outstanding Notes</w:t>
      </w:r>
      <w:r>
        <w:rPr>
          <w:rFonts w:ascii="Times New Roman" w:hAnsi="Times New Roman"/>
          <w:sz w:val="20"/>
        </w:rPr>
        <w:t xml:space="preserve">. The Notes outstanding at any time are all the Notes authenticated by the Trustee except for those cancelled by it, those delivered to it for cancellation, those reductions in the interest in a Global Note effected by the Trustee in accordance with the provisions hereof, and those described in this Section 2.8 as not outstanding. Except as set forth in Section 2.9, a Note does not cease to be outstanding because the Issuer, the Subsidiary Guarantors or any of their respective Affiliates holds the Note. </w:t>
      </w:r>
    </w:p>
    <w:p>
      <w:pPr>
        <w:pStyle w:val="TextBody"/>
        <w:bidi w:val="0"/>
        <w:spacing w:before="240" w:after="0"/>
        <w:jc w:val="left"/>
        <w:rPr>
          <w:rFonts w:ascii="Times New Roman" w:hAnsi="Times New Roman"/>
          <w:sz w:val="20"/>
        </w:rPr>
      </w:pPr>
      <w:r>
        <w:rPr>
          <w:rFonts w:ascii="Times New Roman" w:hAnsi="Times New Roman"/>
          <w:sz w:val="20"/>
        </w:rPr>
        <w:t xml:space="preserve">If a Note is replaced pursuant to Section 2.7, it ceases to be outstanding unless the Trustee receives proof satisfactory to it that the replaced Note is held by a protected purchaser.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principal amount of any Note is considered paid under Section 4.1 hereof, it ceases to be outstanding and interest on it ceases to accrue. </w:t>
      </w:r>
    </w:p>
    <w:p>
      <w:pPr>
        <w:pStyle w:val="TextBody"/>
        <w:bidi w:val="0"/>
        <w:spacing w:before="240" w:after="0"/>
        <w:jc w:val="left"/>
        <w:rPr>
          <w:rFonts w:ascii="Times New Roman" w:hAnsi="Times New Roman"/>
          <w:sz w:val="20"/>
        </w:rPr>
      </w:pPr>
      <w:r>
        <w:rPr>
          <w:rFonts w:ascii="Times New Roman" w:hAnsi="Times New Roman"/>
          <w:sz w:val="20"/>
        </w:rPr>
        <w:t xml:space="preserve">If the Paying Agent (other than the Issuer, a Subsidiary or an Affiliate of any thereof) holds, on the maturity date or date of redemption, money sufficient to pay all amounts under the Notes payable on that date, then on and after that date such Notes shall be deemed to be no longer outstanding and shall cease to accrue interest.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Treasury Notes</w:t>
      </w:r>
      <w:r>
        <w:rPr>
          <w:rFonts w:ascii="Times New Roman" w:hAnsi="Times New Roman"/>
          <w:sz w:val="20"/>
        </w:rPr>
        <w:t xml:space="preserve">. In determining whether the Holders of the required aggregate principal amount of Notes have concurred in any direction, waiver or consent, Notes owned by the Issuer, the Subsidiary Guarantors or by any of their respective Affiliates shall be considered as though not outstanding, except that for the purposes of determining whether the Trustee shall be protected in relying on any such direction, waiver or consent, only Notes of which a Responsible Officer of the Trustee has written notice as being so owned shall be so disregarded. Notwithstanding the foregoing, Notes that are to be acquired by the Issuer or an Affiliate of the Issuer pursuant to an exchange offer, tender offer or other agreement shall not be deemed to be owned by such entity until legal title to such Notes passes to such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Temporary Notes</w:t>
      </w:r>
      <w:r>
        <w:rPr>
          <w:rFonts w:ascii="Times New Roman" w:hAnsi="Times New Roman"/>
          <w:sz w:val="20"/>
        </w:rPr>
        <w:t xml:space="preserve">. Until certificated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Without unreasonable delay, the Issuer shall prepare and the Trustee shall upon receipt of a written order of the Issuer signed by one Officer, authenticate certificated Notes in certificate form in exchange for temporary Notes. </w:t>
      </w:r>
    </w:p>
    <w:p>
      <w:pPr>
        <w:pStyle w:val="TextBody"/>
        <w:bidi w:val="0"/>
        <w:spacing w:before="240" w:after="0"/>
        <w:jc w:val="left"/>
        <w:rPr>
          <w:rFonts w:ascii="Times New Roman" w:hAnsi="Times New Roman"/>
          <w:sz w:val="20"/>
        </w:rPr>
      </w:pPr>
      <w:r>
        <w:rPr>
          <w:rFonts w:ascii="Times New Roman" w:hAnsi="Times New Roman"/>
          <w:sz w:val="20"/>
        </w:rPr>
        <w:t xml:space="preserve">Holders of temporary Notes shall be entitled to all of the benefits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Cancellation</w:t>
      </w:r>
      <w:r>
        <w:rPr>
          <w:rFonts w:ascii="Times New Roman" w:hAnsi="Times New Roman"/>
          <w:sz w:val="20"/>
        </w:rPr>
        <w:t xml:space="preserve">. The Issuer at any time may deliver to the Trustee for cancellation any Notes previously authenticated and delivered hereunder or which the Issuer may have acquired in any manner whatsoever, and all Notes so delivered shall be promptly cancelled by the Trustee. All Notes surrendered for registration of transfer, exchange or payment, if surrendered to any Person other than the Trustee, shall be delivered to the Trustee. The Trustee and no one else shall cancel all Notes surrendered for registration of transfer, exchange, payment, replacement or cancellation. Subject to Sections 2.7 and 2.16, the Issuer may not issue new Notes to replace Notes that they have redeemed or paid or that have been delivered to the Trustee for cancellation. All cancelled Notes held by the Trustee shall be disposed of in accordance with its customary practice.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Defaulted Interest</w:t>
      </w:r>
      <w:r>
        <w:rPr>
          <w:rFonts w:ascii="Times New Roman" w:hAnsi="Times New Roman"/>
          <w:sz w:val="20"/>
        </w:rPr>
        <w:t xml:space="preserve">. If the Issuer defaults in a payment of interest on the Notes, they shall pay the defaulted interest in any lawful manner plus, to the extent lawful, interest payable on the defaulted interest, to the Persons who are Holders on a subsequent special record date, which date shall be the earliest practicable date but in all events at least five (5) Business Days prior to the payment date, in each case at the rate provided in the Notes and in Section 4.1; </w:t>
      </w:r>
      <w:r>
        <w:rPr>
          <w:rFonts w:ascii="Times New Roman" w:hAnsi="Times New Roman"/>
          <w:sz w:val="20"/>
          <w:u w:val="single"/>
        </w:rPr>
        <w:t>provided</w:t>
      </w:r>
      <w:r>
        <w:rPr>
          <w:rFonts w:ascii="Times New Roman" w:hAnsi="Times New Roman"/>
          <w:sz w:val="20"/>
        </w:rPr>
        <w:t xml:space="preserve"> that no special record date shall be required with respect to any defaulted interest that is paid within the applicable grace period. The Issuer shall fix or cause to be fixed each such special record date and payment date and shall promptly thereafter notify the Trustee of any such date. At least 15 days before the special record date, the Issuer (or the Trustee, in the name and at the expense of the Issuer) shall mail or cause to be mailed to Holders a notice that states the special record date, the related payment date and the amount of such interest to be paid. The Trustee will have no duty whatsoever to determine whether any defaulted interest is payable or the amount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Computation of Interest</w:t>
      </w:r>
      <w:r>
        <w:rPr>
          <w:rFonts w:ascii="Times New Roman" w:hAnsi="Times New Roman"/>
          <w:sz w:val="20"/>
        </w:rPr>
        <w:t xml:space="preserve">. Interest on the Notes shall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CUSIP and ISIN Numbers</w:t>
      </w:r>
      <w:r>
        <w:rPr>
          <w:rFonts w:ascii="Times New Roman" w:hAnsi="Times New Roman"/>
          <w:sz w:val="20"/>
        </w:rPr>
        <w:t xml:space="preserve">. The Issuer in issuing the Notes may use “CUSIP” and “ISIN” numbers, and, if they do so, the Trustee shall use the CUSIP and/or ISIN number in notices of redemption or exchange as a convenience to Holders; </w:t>
      </w:r>
      <w:r>
        <w:rPr>
          <w:rFonts w:ascii="Times New Roman" w:hAnsi="Times New Roman"/>
          <w:sz w:val="20"/>
          <w:u w:val="single"/>
        </w:rPr>
        <w:t>provided</w:t>
      </w:r>
      <w:r>
        <w:rPr>
          <w:rFonts w:ascii="Times New Roman" w:hAnsi="Times New Roman"/>
          <w:sz w:val="20"/>
        </w:rPr>
        <w:t xml:space="preserve"> that any such notice may state that no representation is made as to the correctness or accuracy of such numbers printed in the notice or on the Notes and that reliance may be placed only on the other identification numbers printed on the Notes, and any such redemption or exchange shall not be affected by any defect in or omission of such numbers. The Issuer shall promptly notify the Trustee in writing of any change in the CUSIP number and ISIN number.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Transfer and Exchange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following provisions shall apply with respect to any proposed transfer of a Rule 144A Note or an Institutional Accredited Investor Note prior to the date which is at least six months after the later of the date of its original issue, the original issue date of any Additional Notes and the last date on which the Issuer or any Affiliate of the Issuer was the owner of such securities (or any predecessor thereto) (the “</w:t>
      </w:r>
      <w:r>
        <w:rPr>
          <w:rFonts w:ascii="Times New Roman" w:hAnsi="Times New Roman"/>
          <w:i/>
          <w:sz w:val="20"/>
        </w:rPr>
        <w:t>Resale Restriction Termination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a transfer of a Rule 144A Note or an Institutional Accredited Investor Note or a beneficial interest therein to a QIB shall be made upon the representation of the transferee, in the form of assignment as set forth on the reverse of the Note, that it is purchasing the Note for its own account or an account with respect to which it exercises sole investment discretion and that it and any such account is a QIB,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its foregoing representations in order to claim the exemption from registration provided by Rule 144A; </w:t>
      </w:r>
    </w:p>
    <w:p>
      <w:pPr>
        <w:pStyle w:val="TextBody"/>
        <w:bidi w:val="0"/>
        <w:spacing w:before="120" w:after="0"/>
        <w:jc w:val="left"/>
        <w:rPr>
          <w:rFonts w:ascii="Times New Roman" w:hAnsi="Times New Roman"/>
          <w:sz w:val="20"/>
        </w:rPr>
      </w:pPr>
      <w:r>
        <w:rPr>
          <w:rFonts w:ascii="Times New Roman" w:hAnsi="Times New Roman"/>
          <w:sz w:val="20"/>
        </w:rPr>
        <w:t xml:space="preserve">(2) a transfer of a Rule 144A Note or an Institutional Accredited Investor Note or a beneficial interest therein to an IAI shall be made upon receipt by the Trustee or its agent of a certificate substantially in the form set forth under </w:t>
      </w:r>
      <w:r>
        <w:rPr>
          <w:rFonts w:ascii="Times New Roman" w:hAnsi="Times New Roman"/>
          <w:sz w:val="20"/>
          <w:u w:val="single"/>
        </w:rPr>
        <w:t>Exhibit D</w:t>
      </w:r>
      <w:r>
        <w:rPr>
          <w:rFonts w:ascii="Times New Roman" w:hAnsi="Times New Roman"/>
          <w:sz w:val="20"/>
        </w:rPr>
        <w:t xml:space="preserve"> from the proposed transferee and, if requested by the Issuer or the Trustee, the receipt by the Trustee or its agent of an Opinion of Counsel, certification and/or other information satisfactory to each of them; and </w:t>
      </w:r>
    </w:p>
    <w:p>
      <w:pPr>
        <w:pStyle w:val="TextBody"/>
        <w:bidi w:val="0"/>
        <w:spacing w:before="120" w:after="0"/>
        <w:jc w:val="left"/>
        <w:rPr>
          <w:rFonts w:ascii="Times New Roman" w:hAnsi="Times New Roman"/>
          <w:sz w:val="20"/>
        </w:rPr>
      </w:pPr>
      <w:r>
        <w:rPr>
          <w:rFonts w:ascii="Times New Roman" w:hAnsi="Times New Roman"/>
          <w:sz w:val="20"/>
        </w:rPr>
        <w:t xml:space="preserve">(3) a transfer of a Rule 144A Note or an Institutional Accredited Investor Note or a beneficial interest therein to a non-U.S. person shall be made upon receipt by the Trustee or its agent of a certificate substantially in the form set forth under </w:t>
      </w:r>
      <w:r>
        <w:rPr>
          <w:rFonts w:ascii="Times New Roman" w:hAnsi="Times New Roman"/>
          <w:sz w:val="20"/>
          <w:u w:val="single"/>
        </w:rPr>
        <w:t>Exhibit C</w:t>
      </w:r>
      <w:r>
        <w:rPr>
          <w:rFonts w:ascii="Times New Roman" w:hAnsi="Times New Roman"/>
          <w:sz w:val="20"/>
        </w:rPr>
        <w:t xml:space="preserve"> from the proposed transferor and, if requested by the Issuer or the Trustee, the delivery of an Opinion of Counsel, certification and/or other information satisfactory to each of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After the Resale Restriction Termination Date, interests in a Rule 144A Note or an Institutional Accredited Investor Note may be transferred in accordance with applicable law without requiring the certifications set forth under </w:t>
      </w:r>
      <w:r>
        <w:rPr>
          <w:rFonts w:ascii="Times New Roman" w:hAnsi="Times New Roman"/>
          <w:sz w:val="20"/>
          <w:u w:val="single"/>
        </w:rPr>
        <w:t>Exhibit C</w:t>
      </w:r>
      <w:r>
        <w:rPr>
          <w:rFonts w:ascii="Times New Roman" w:hAnsi="Times New Roman"/>
          <w:sz w:val="20"/>
        </w:rPr>
        <w:t xml:space="preserve"> or </w:t>
      </w:r>
      <w:r>
        <w:rPr>
          <w:rFonts w:ascii="Times New Roman" w:hAnsi="Times New Roman"/>
          <w:sz w:val="20"/>
          <w:u w:val="single"/>
        </w:rPr>
        <w:t>Exhibit D</w:t>
      </w:r>
      <w:r>
        <w:rPr>
          <w:rFonts w:ascii="Times New Roman" w:hAnsi="Times New Roman"/>
          <w:sz w:val="20"/>
        </w:rPr>
        <w:t xml:space="preserve"> or any additional certification. </w:t>
      </w:r>
    </w:p>
    <w:p>
      <w:pPr>
        <w:pStyle w:val="TextBody"/>
        <w:bidi w:val="0"/>
        <w:spacing w:before="120" w:after="0"/>
        <w:jc w:val="left"/>
        <w:rPr>
          <w:rFonts w:ascii="Times New Roman" w:hAnsi="Times New Roman"/>
          <w:sz w:val="20"/>
        </w:rPr>
      </w:pPr>
      <w:r>
        <w:rPr>
          <w:rFonts w:ascii="Times New Roman" w:hAnsi="Times New Roman"/>
          <w:sz w:val="20"/>
        </w:rPr>
        <w:t>(b) The following provisions shall apply with respect to any proposed transfer of a Regulation S Note prior to the date which is forty days after the later of the Issue Date, the closing date of the issuance of any Additional Notes and when the Notes or any predecessor of the Notes are first offered to Persons other than distributors (as defined in Rule 902 of Regulation S) in reliance on Regulation S (the “</w:t>
      </w:r>
      <w:r>
        <w:rPr>
          <w:rFonts w:ascii="Times New Roman" w:hAnsi="Times New Roman"/>
          <w:i/>
          <w:sz w:val="20"/>
        </w:rPr>
        <w:t>Restricted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a transfer of a Regulation S Note or a beneficial interest therein to a QIB shall be made upon the representation of the transferee, in the form of assignment as set forth on the reverse of the Note, that it is purchasing the Note for its own account or an account with respect to which it exercises sole investment discretion and that it and any such account is a QIB,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its foregoing representations in order to claim the exemption from registration provided by Rule 144A; </w:t>
      </w:r>
    </w:p>
    <w:p>
      <w:pPr>
        <w:pStyle w:val="TextBody"/>
        <w:bidi w:val="0"/>
        <w:spacing w:before="120" w:after="0"/>
        <w:jc w:val="left"/>
        <w:rPr>
          <w:rFonts w:ascii="Times New Roman" w:hAnsi="Times New Roman"/>
          <w:sz w:val="20"/>
        </w:rPr>
      </w:pPr>
      <w:r>
        <w:rPr>
          <w:rFonts w:ascii="Times New Roman" w:hAnsi="Times New Roman"/>
          <w:sz w:val="20"/>
        </w:rPr>
        <w:t xml:space="preserve">(2) a transfer of a Regulation S Note or a beneficial interest therein to an IAI shall be made upon receipt by the Trustee or its agent of a certificate substantially in the form set forth under </w:t>
      </w:r>
      <w:r>
        <w:rPr>
          <w:rFonts w:ascii="Times New Roman" w:hAnsi="Times New Roman"/>
          <w:sz w:val="20"/>
          <w:u w:val="single"/>
        </w:rPr>
        <w:t>Exhibit D</w:t>
      </w:r>
      <w:r>
        <w:rPr>
          <w:rFonts w:ascii="Times New Roman" w:hAnsi="Times New Roman"/>
          <w:sz w:val="20"/>
        </w:rPr>
        <w:t xml:space="preserve"> from the proposed transferee and, if requested by the Issuer or the Trustee, the delivery of an Opinion of Counsel, certification and/or other information satisfactory to each of them; and </w:t>
      </w:r>
    </w:p>
    <w:p>
      <w:pPr>
        <w:pStyle w:val="TextBody"/>
        <w:bidi w:val="0"/>
        <w:spacing w:before="120" w:after="0"/>
        <w:jc w:val="left"/>
        <w:rPr>
          <w:rFonts w:ascii="Times New Roman" w:hAnsi="Times New Roman"/>
          <w:sz w:val="20"/>
        </w:rPr>
      </w:pPr>
      <w:r>
        <w:rPr>
          <w:rFonts w:ascii="Times New Roman" w:hAnsi="Times New Roman"/>
          <w:sz w:val="20"/>
        </w:rPr>
        <w:t xml:space="preserve">(3) a transfer of a Regulation S Note or a beneficial interest therein to a non-U.S. person shall be made upon receipt by the Trustee or its agent of a certificate substantially in the form set forth under </w:t>
      </w:r>
      <w:r>
        <w:rPr>
          <w:rFonts w:ascii="Times New Roman" w:hAnsi="Times New Roman"/>
          <w:sz w:val="20"/>
          <w:u w:val="single"/>
        </w:rPr>
        <w:t>Exhibit C</w:t>
      </w:r>
      <w:r>
        <w:rPr>
          <w:rFonts w:ascii="Times New Roman" w:hAnsi="Times New Roman"/>
          <w:sz w:val="20"/>
        </w:rPr>
        <w:t xml:space="preserve"> hereof from the proposed transferor and, if requested by the Issuer or the Trustee, receipt by the Trustee or its agent of an Opinion of Counsel, certification and/or other information satisfactory to each of them. </w:t>
      </w:r>
    </w:p>
    <w:p>
      <w:pPr>
        <w:pStyle w:val="TextBody"/>
        <w:bidi w:val="0"/>
        <w:spacing w:before="240" w:after="0"/>
        <w:jc w:val="left"/>
        <w:rPr>
          <w:rFonts w:ascii="Times New Roman" w:hAnsi="Times New Roman"/>
          <w:sz w:val="20"/>
        </w:rPr>
      </w:pPr>
      <w:r>
        <w:rPr>
          <w:rFonts w:ascii="Times New Roman" w:hAnsi="Times New Roman"/>
          <w:sz w:val="20"/>
        </w:rPr>
        <w:t xml:space="preserve">After the expiration of the Restricted Period, interests in the Regulation S Note may be transferred in accordance with applicable law without requiring the certifications set forth under </w:t>
      </w:r>
      <w:r>
        <w:rPr>
          <w:rFonts w:ascii="Times New Roman" w:hAnsi="Times New Roman"/>
          <w:sz w:val="20"/>
          <w:u w:val="single"/>
        </w:rPr>
        <w:t>Exhibit C</w:t>
      </w:r>
      <w:r>
        <w:rPr>
          <w:rFonts w:ascii="Times New Roman" w:hAnsi="Times New Roman"/>
          <w:sz w:val="20"/>
        </w:rPr>
        <w:t xml:space="preserve"> or </w:t>
      </w:r>
      <w:r>
        <w:rPr>
          <w:rFonts w:ascii="Times New Roman" w:hAnsi="Times New Roman"/>
          <w:sz w:val="20"/>
          <w:u w:val="single"/>
        </w:rPr>
        <w:t>Exhibit D</w:t>
      </w:r>
      <w:r>
        <w:rPr>
          <w:rFonts w:ascii="Times New Roman" w:hAnsi="Times New Roman"/>
          <w:sz w:val="20"/>
        </w:rPr>
        <w:t xml:space="preserve"> or any additional certification.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that a Global Note is exchanged for Notes in certificated, registered form pursuant to Section 2.6, such Notes may be exchanged only in accordance with such procedures as are substantially consistent with the provisions of clauses (a) and (b) of this Section 2.15 (including the certification requirements intended to ensure that such transfers comply with Rule 144A or Regulation S, as the case may be) and such other procedures as may from time to time be adopted by the Issuer and notified to the Trustee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Restricted Notes Legend</w:t>
      </w:r>
      <w:r>
        <w:rPr>
          <w:rFonts w:ascii="Times New Roman" w:hAnsi="Times New Roman"/>
          <w:sz w:val="20"/>
        </w:rPr>
        <w:t xml:space="preserve">. Upon the transfer, exchange or replacement of Notes not bearing the Restricted Notes Legend, the Registrar shall deliver Notes that do not bear the Restricted Notes Legend. Upon the transfer, exchange or replacement of Notes bearing the Restricted Notes Legend, the Registrar shall deliver only Notes that bear the Restricted Notes Legend unless there is delivered to the Registrar an Opinion of Counsel reasonably satisfactory to the Issuer to the effect that neither such legend nor the related restrictions on transfer are required in order to maintain compliance with the provisions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Regulation S Legend</w:t>
      </w:r>
      <w:r>
        <w:rPr>
          <w:rFonts w:ascii="Times New Roman" w:hAnsi="Times New Roman"/>
          <w:sz w:val="20"/>
        </w:rPr>
        <w:t xml:space="preserve">. Upon the transfer, exchange or replacement of Notes not bearing the Regulation S Legend, the Registrar shall deliver Notes that do not bear the Regulation S Legend. Upon the transfer, exchange or replacement of Notes bearing the Regulation S Legend, the Registrar shall deliver only Notes that bear the Regulation S Legend unless there is delivered to the Registrar an Opinion of Counsel reasonably satisfactory to the Issuer to the effect that neither such legend nor the related restrictions on transfer are required in order to maintain compliance with the provisions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General</w:t>
      </w:r>
      <w:r>
        <w:rPr>
          <w:rFonts w:ascii="Times New Roman" w:hAnsi="Times New Roman"/>
          <w:sz w:val="20"/>
        </w:rPr>
        <w:t xml:space="preserve">. By its acceptance of any Note bearing the Restricted Notes Legend or the Regulation S Legend, as applicable, each Holder of such a Note acknowledges the restrictions on transfer of such Note set forth in this Indenture and in the Restricted Notes Legend or the Regulation S Legend, as applicable, and agrees that it shall transfer such Note only as provided in this Indenture. A transfer of a beneficial interest in a Global Note that does not involve an exchange of such interest for a certificated Note or a beneficial interest in another Global Note shall be subject to compliance with applicable law and the applicable procedures of the Depositary but is not subject to any procedure required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proposed transfer pursuant to Regulation S or pursuant to any other available exemption from the registration requirements of the Securities Act (other than pursuant to Rule 144A), the Issuer may require the delivery of an Opinion of Counsel, other certifications or other information satisfactory to the Issuer. </w:t>
      </w:r>
    </w:p>
    <w:p>
      <w:pPr>
        <w:pStyle w:val="TextBody"/>
        <w:bidi w:val="0"/>
        <w:spacing w:before="240" w:after="0"/>
        <w:jc w:val="left"/>
        <w:rPr>
          <w:rFonts w:ascii="Times New Roman" w:hAnsi="Times New Roman"/>
          <w:sz w:val="20"/>
        </w:rPr>
      </w:pPr>
      <w:r>
        <w:rPr>
          <w:rFonts w:ascii="Times New Roman" w:hAnsi="Times New Roman"/>
          <w:sz w:val="20"/>
        </w:rPr>
        <w:t xml:space="preserve">The Registrar shall retain copies of all letters, notices and other written communications received pursuant to this Section 2.15.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Issuance of Additional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be entitled to issue Additional Notes in an unlimited aggregate principal amount under this Indenture that shall have identical terms as the Initial Notes, other than with respect to the date of issuance, issue price, first interest payment date applicable thereto and first date from which interest will accrue; </w:t>
      </w:r>
      <w:r>
        <w:rPr>
          <w:rFonts w:ascii="Times New Roman" w:hAnsi="Times New Roman"/>
          <w:sz w:val="20"/>
          <w:u w:val="single"/>
        </w:rPr>
        <w:t>provided</w:t>
      </w:r>
      <w:r>
        <w:rPr>
          <w:rFonts w:ascii="Times New Roman" w:hAnsi="Times New Roman"/>
          <w:sz w:val="20"/>
        </w:rPr>
        <w:t xml:space="preserve"> that such issuance is not prohibited by the terms of this Indenture, including Section 4.9,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any Additional Notes are not fungible with the existing Notes for U.S. federal income tax purposes, as determined by the Issuer, such Additional Notes will have a separate CUSIP number and ISIN. The Initial Notes and any Additional Notes shall be treated as a single class for all purposes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any Additional Notes, the Issuer shall set forth in an Officer’s Certificate, a copy of which shall be delivered to the Trustee, the following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(1) the aggregate principal amount of such Additional Notes to be authenticated and delivered pursuant to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(2) the issue price, the issue date, the CUSIP and/or ISIN number of such Additional Notes, the first interest payment date and the amount of interest payable on such first interest payment date applicable thereto and the date from which interest shall accrue; </w:t>
      </w:r>
    </w:p>
    <w:p>
      <w:pPr>
        <w:pStyle w:val="TextBody"/>
        <w:bidi w:val="0"/>
        <w:spacing w:before="240" w:after="0"/>
        <w:jc w:val="left"/>
        <w:rPr>
          <w:rFonts w:ascii="Times New Roman" w:hAnsi="Times New Roman"/>
          <w:sz w:val="20"/>
        </w:rPr>
      </w:pPr>
      <w:r>
        <w:rPr>
          <w:rFonts w:ascii="Times New Roman" w:hAnsi="Times New Roman"/>
          <w:sz w:val="20"/>
        </w:rPr>
        <w:t xml:space="preserve">(3) whether such Additional Notes shall be Transfer Restricted Notes; and </w:t>
      </w:r>
    </w:p>
    <w:p>
      <w:pPr>
        <w:pStyle w:val="TextBody"/>
        <w:bidi w:val="0"/>
        <w:spacing w:before="240" w:after="0"/>
        <w:jc w:val="left"/>
        <w:rPr>
          <w:rFonts w:ascii="Times New Roman" w:hAnsi="Times New Roman"/>
          <w:sz w:val="20"/>
        </w:rPr>
      </w:pPr>
      <w:r>
        <w:rPr>
          <w:rFonts w:ascii="Times New Roman" w:hAnsi="Times New Roman"/>
          <w:sz w:val="20"/>
        </w:rPr>
        <w:t xml:space="preserve">(4) that such issuance is not prohibited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upon receipt of the Officer’s Certificate, an Authentication Order and an Opinion of Counsel confirming that all conditions precedent to the authentication and delivery of the Additional Notes have been satisfied and stating that the Additional Notes are the legal, valid and binding obligation of the Issuer, subject to the customary exceptions, authenticate the Additional Notes in accordance with the provisions of Section 2.2 of this Indenture.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REDEMPTION AND PREPAYMENT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Notices to Trustee</w:t>
      </w:r>
      <w:r>
        <w:rPr>
          <w:rFonts w:ascii="Times New Roman" w:hAnsi="Times New Roman"/>
          <w:sz w:val="20"/>
        </w:rPr>
        <w:t xml:space="preserve">. If the Issuer elects to redeem Notes pursuant to the optional redemption provisions of Section 3.7, they shall furnish to the Trustee, at least five Business Days (or such shorter period as is acceptable to the Trustee) before sending a notice of such redemption, an Officer’s Certificate setting forth the (i) the paragraph of the Notes and/or section of this Indenture pursuant to which the redemption shall occur, (ii) redemption date (which, in the case of a redemption subject to conditions, may be subject to extension until such conditions are satisfied), (iii) principal amount of Notes to be redeemed and (iv) the redemption price or the method for determining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Selection of Notes to Be Redeemed</w:t>
      </w:r>
      <w:r>
        <w:rPr>
          <w:rFonts w:ascii="Times New Roman" w:hAnsi="Times New Roman"/>
          <w:sz w:val="20"/>
        </w:rPr>
        <w:t xml:space="preserve">. In the event that less than all of the Notes are to be redeemed at any time, the Trustee shall select the Notes (or portions of Notes) to be redeemed among the Holders in compliance with the requirements of the principal national securities exchange, if any, on which the Notes are listed or, if the Notes are not then listed on any national securities exchange, on a pro rata basis or by lot;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Notes of $2,000 in original principal amount or less shall be redeemed in part. Notwithstanding anything to the contrary stated herein, to the extent any such Notes are held in the form of Global Notes, the Notes to be redeemed shall be selected in accordance with the applicable procedures and requirements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Notice of Redemption</w:t>
      </w:r>
      <w:r>
        <w:rPr>
          <w:rFonts w:ascii="Times New Roman" w:hAnsi="Times New Roman"/>
          <w:sz w:val="20"/>
        </w:rPr>
        <w:t xml:space="preserve">. The Issuer shall mail or cause to be mailed (in each case sent by first class mail) in accordance with Section 11.1 (or delivered by electronic transmission in accordance with the applicable DTC procedures), a notice of redemption pursuant to Section 3.7 to each Holder whose Notes are to be redeemed at its registered address (with a copy to the Trustee), at least 15 days but not more than 60 days before the expected redemption date (except that notices may be mailed or delivered more than 60 days before a redemption date if the notice is issued in accordance with Article VIII).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notice shall identify the Notes to be redeemed (including the name of the Notes, the series, “CUSIP” numbers and corresponding “ISINs”, if applicable, interest rate, maturity date and, if known, certificate numbers) and shall state: </w:t>
      </w:r>
    </w:p>
    <w:p>
      <w:pPr>
        <w:pStyle w:val="TextBody"/>
        <w:bidi w:val="0"/>
        <w:spacing w:before="120" w:after="0"/>
        <w:jc w:val="left"/>
        <w:rPr>
          <w:rFonts w:ascii="Times New Roman" w:hAnsi="Times New Roman"/>
          <w:sz w:val="20"/>
        </w:rPr>
      </w:pPr>
      <w:r>
        <w:rPr>
          <w:rFonts w:ascii="Times New Roman" w:hAnsi="Times New Roman"/>
          <w:sz w:val="20"/>
        </w:rPr>
        <w:t xml:space="preserve">(1) the redemption date (which, in the case of a redemption subject to conditions, may be subject to extension until such conditions are satisfied); </w:t>
      </w:r>
    </w:p>
    <w:p>
      <w:pPr>
        <w:pStyle w:val="TextBody"/>
        <w:bidi w:val="0"/>
        <w:spacing w:before="120" w:after="0"/>
        <w:jc w:val="left"/>
        <w:rPr>
          <w:rFonts w:ascii="Times New Roman" w:hAnsi="Times New Roman"/>
          <w:sz w:val="20"/>
        </w:rPr>
      </w:pPr>
      <w:r>
        <w:rPr>
          <w:rFonts w:ascii="Times New Roman" w:hAnsi="Times New Roman"/>
          <w:sz w:val="20"/>
        </w:rPr>
        <w:t xml:space="preserve">(2) the redemption price (or the method by which it is to be determined); </w:t>
      </w:r>
    </w:p>
    <w:p>
      <w:pPr>
        <w:pStyle w:val="TextBody"/>
        <w:bidi w:val="0"/>
        <w:spacing w:before="120" w:after="0"/>
        <w:jc w:val="left"/>
        <w:rPr>
          <w:rFonts w:ascii="Times New Roman" w:hAnsi="Times New Roman"/>
          <w:sz w:val="20"/>
        </w:rPr>
      </w:pPr>
      <w:r>
        <w:rPr>
          <w:rFonts w:ascii="Times New Roman" w:hAnsi="Times New Roman"/>
          <w:sz w:val="20"/>
        </w:rPr>
        <w:t xml:space="preserve">(3) 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 (or appropriate adjustments to the amount and beneficial interests in a Global Note will be made, as appropriate); </w:t>
      </w:r>
    </w:p>
    <w:p>
      <w:pPr>
        <w:pStyle w:val="TextBody"/>
        <w:bidi w:val="0"/>
        <w:spacing w:before="120" w:after="0"/>
        <w:jc w:val="left"/>
        <w:rPr>
          <w:rFonts w:ascii="Times New Roman" w:hAnsi="Times New Roman"/>
          <w:sz w:val="20"/>
        </w:rPr>
      </w:pPr>
      <w:r>
        <w:rPr>
          <w:rFonts w:ascii="Times New Roman" w:hAnsi="Times New Roman"/>
          <w:sz w:val="20"/>
        </w:rPr>
        <w:t xml:space="preserve">(4) the name and address of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(5) that Notes called for redemption must be surrendered to the Paying Agent to collect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(6) that, unless the Issuer defaults in making such redemption payment, interest, if any, on Notes called for redemption ceases to accrue on and after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(7) the paragraph of the Notes and/or Section of this Indenture pursuant to which the Notes called for redemption are being redeemed; </w:t>
      </w:r>
    </w:p>
    <w:p>
      <w:pPr>
        <w:pStyle w:val="TextBody"/>
        <w:bidi w:val="0"/>
        <w:spacing w:before="120" w:after="0"/>
        <w:jc w:val="left"/>
        <w:rPr>
          <w:rFonts w:ascii="Times New Roman" w:hAnsi="Times New Roman"/>
          <w:sz w:val="20"/>
        </w:rPr>
      </w:pPr>
      <w:r>
        <w:rPr>
          <w:rFonts w:ascii="Times New Roman" w:hAnsi="Times New Roman"/>
          <w:sz w:val="20"/>
        </w:rPr>
        <w:t xml:space="preserve">(8) that no representation is made as to the correctness or accuracy of the CUSIP number and ISIN number, if any, listed in such notice or printed on the Notes; and </w:t>
      </w:r>
    </w:p>
    <w:p>
      <w:pPr>
        <w:pStyle w:val="TextBody"/>
        <w:bidi w:val="0"/>
        <w:spacing w:before="120" w:after="0"/>
        <w:jc w:val="left"/>
        <w:rPr>
          <w:rFonts w:ascii="Times New Roman" w:hAnsi="Times New Roman"/>
          <w:sz w:val="20"/>
        </w:rPr>
      </w:pPr>
      <w:r>
        <w:rPr>
          <w:rFonts w:ascii="Times New Roman" w:hAnsi="Times New Roman"/>
          <w:sz w:val="20"/>
        </w:rPr>
        <w:t xml:space="preserve">(9) any conditions precedent to such redemption. </w:t>
      </w:r>
    </w:p>
    <w:p>
      <w:pPr>
        <w:pStyle w:val="TextBody"/>
        <w:bidi w:val="0"/>
        <w:spacing w:before="240" w:after="0"/>
        <w:jc w:val="left"/>
        <w:rPr>
          <w:rFonts w:ascii="Times New Roman" w:hAnsi="Times New Roman"/>
          <w:sz w:val="20"/>
        </w:rPr>
      </w:pPr>
      <w:r>
        <w:rPr>
          <w:rFonts w:ascii="Times New Roman" w:hAnsi="Times New Roman"/>
          <w:sz w:val="20"/>
        </w:rPr>
        <w:t xml:space="preserve">At the Issuer’s written request, the Trustee shall give the notice of redemption in the Issuer’s name and at the Issuer’s expense;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Issuer shall have delivered to the Trustee, at least five Business Days prior to the date of the giving of the notice of redemption (or such shorter period as is acceptable to the Trustee), an Officer’s Certificate requesting that the Trustee give such notice and setting forth the information to be stated in the notice as provided in the preceding paragraph and confirming that all conditions precedent to the redemption, if any, have been satisfied. The notice sent in the manner herein provided shall be deemed to have been duly given whether or not the Holder receives such notice. In any case, failure to give such notice or any defect in the notice to the Holder of any Note shall not affect the validity of the proceeding for the redemption of any other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Effect of Notice of Redemption</w:t>
      </w:r>
      <w:r>
        <w:rPr>
          <w:rFonts w:ascii="Times New Roman" w:hAnsi="Times New Roman"/>
          <w:sz w:val="20"/>
        </w:rPr>
        <w:t xml:space="preserve">. Subject to the next paragraph, once notice of redemption is delivered in accordance with Section 3.3, Notes called for redemption become due and payable on the redemption date at the applicable redemption price, plus accrued and unpaid interest to, but not including,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of Notes in connection with a corporate transaction (including any equity offering, an Incurrence of Debt or a transaction involving a Change of Control of the Issuer) may, at the Issuer’s discretion, be given prior to the completion thereof and any such redemption or notice may, at the Issuer’s discretion, be subject to one or more conditions precedent, including, but not limited to, completion of the related transaction. If such redemption or purchase is so subject to satisfaction of one or more conditions precedent, such notice shall describe each such condition and such notice may be rescinded in the event that any or all such conditions shall not have been satisfied by the redemption date. In addition, the Issuer may provide in such notice that payment of the redemption price and performance of the Issuer’s obligations with respect to such redemption may be performed by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Deposit of Redemption Price</w:t>
      </w:r>
      <w:r>
        <w:rPr>
          <w:rFonts w:ascii="Times New Roman" w:hAnsi="Times New Roman"/>
          <w:sz w:val="20"/>
        </w:rPr>
        <w:t xml:space="preserve">. On or before 11:00 a.m. (New York City time) on the redemption date, the Issuer shall deposit with the Trustee or with the Paying Agent (other than the Issuer or an Affiliate of the Issuer) money sufficient to pay the redemption price, together with accrued and unpaid interest, if any, to the applicable redemption date on all Notes to be redeemed on that date. The Trustee or the Paying Agent shall promptly return to the Issuer any money deposited with the Trustee or the Paying Agent by the Issuer in excess of the amounts necessary to pay the redemption price and accrued and unpaid interest, if any, to the applicable redemption date on all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the Issuer has deposited with the Trustee or Paying Agent money sufficient to pay the redemption price of, and unpaid and accrued interest, if any, on, all Notes to be redeemed, on and after the redemption, interest shall cease to accrue on the Notes or the portions of Notes called for redemption (regardless of whether certificates for such securities are actually surrendered).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shall not be so paid upon surrender for redemption because of the failure of the Issuer to comply with the preceding paragraph, interest shall be paid on the unpaid principal from the redemption until such principal is paid, and to the extent lawful on any interest not paid on such unpaid principal, in each case, at the rate provided in the Notes and in Section 4.1.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Notes Redeemed in Part</w:t>
      </w:r>
      <w:r>
        <w:rPr>
          <w:rFonts w:ascii="Times New Roman" w:hAnsi="Times New Roman"/>
          <w:sz w:val="20"/>
        </w:rPr>
        <w:t xml:space="preserve">. The Notes shall be redeemed in increments of $1,000 and, if the Issuer redeems any Notes only in part, such that the principal amount that remains outstanding of each Note that the Issuer redeems only in part equals $2,000 or an integral multiple of $1,000 in excess thereof. Upon surrender and cancellation of a Note that is redeemed in part, the Issuer shall issue and, upon the written request of an Officer of the Issuer, the Trustee shall authenticate for the Holder at the expense of the Issuer a new Note equal in principal amount to the unredeemed portion of the Note surrendered and canceled.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Optional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All or any portion of the Notes may be redeemed at any time prior to February 15, 2031 (the date that is six months prior to the maturity date) (the “</w:t>
      </w:r>
      <w:r>
        <w:rPr>
          <w:rFonts w:ascii="Times New Roman" w:hAnsi="Times New Roman"/>
          <w:i/>
          <w:sz w:val="20"/>
        </w:rPr>
        <w:t>Par Call Date</w:t>
      </w:r>
      <w:r>
        <w:rPr>
          <w:rFonts w:ascii="Times New Roman" w:hAnsi="Times New Roman"/>
          <w:sz w:val="20"/>
        </w:rPr>
        <w:t xml:space="preserve">”), at a redemption price for the Notes to be redeemed equal to the greater of the following amounts: </w:t>
      </w:r>
    </w:p>
    <w:p>
      <w:pPr>
        <w:pStyle w:val="TextBody"/>
        <w:bidi w:val="0"/>
        <w:spacing w:before="120" w:after="0"/>
        <w:jc w:val="left"/>
        <w:rPr>
          <w:rFonts w:ascii="Times New Roman" w:hAnsi="Times New Roman"/>
          <w:sz w:val="20"/>
        </w:rPr>
      </w:pPr>
      <w:r>
        <w:rPr>
          <w:rFonts w:ascii="Times New Roman" w:hAnsi="Times New Roman"/>
          <w:sz w:val="20"/>
        </w:rPr>
        <w:t xml:space="preserve">(1) 100% of the principal amount of the Notes being redeemed on the redemption date; and </w:t>
      </w:r>
    </w:p>
    <w:p>
      <w:pPr>
        <w:pStyle w:val="TextBody"/>
        <w:bidi w:val="0"/>
        <w:spacing w:before="120" w:after="0"/>
        <w:jc w:val="left"/>
        <w:rPr>
          <w:rFonts w:ascii="Times New Roman" w:hAnsi="Times New Roman"/>
          <w:sz w:val="20"/>
        </w:rPr>
      </w:pPr>
      <w:r>
        <w:rPr>
          <w:rFonts w:ascii="Times New Roman" w:hAnsi="Times New Roman"/>
          <w:sz w:val="20"/>
        </w:rPr>
        <w:t xml:space="preserve">(2) the sum of the present values of the remaining scheduled payments of principal and interest on the Notes being redeemed, assuming such Notes matured on the Par Call Date (not including any portion of any payments of interest accrued to, but not including, the redemption date), discounted to the redemption date on a semi-annual basis (assuming a 360-day year consisting of twelve 30-day months) at the Treasury Rate, plus 50 basis points, </w:t>
      </w:r>
    </w:p>
    <w:p>
      <w:pPr>
        <w:pStyle w:val="TextBody"/>
        <w:bidi w:val="0"/>
        <w:spacing w:before="120" w:after="0"/>
        <w:jc w:val="left"/>
        <w:rPr>
          <w:rFonts w:ascii="Times New Roman" w:hAnsi="Times New Roman"/>
          <w:sz w:val="20"/>
        </w:rPr>
      </w:pPr>
      <w:r>
        <w:rPr>
          <w:rFonts w:ascii="Times New Roman" w:hAnsi="Times New Roman"/>
          <w:sz w:val="20"/>
        </w:rPr>
        <w:t xml:space="preserve">plus, in each case, accrued and unpaid interest on the Notes being redeemed to, but not including,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(b) On or after the Par Call Date, all or any portion of the Notes may be redeemed at any time at a redemption price equal to 100% of the principal amount of the Notes being redeemed plus accrued and unpaid interest to, but not including,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(c) Nothing herein shall limit the ability of the Issuer or its Affiliates to purchase or acquire Notes in open market purchases, tender or exchange offers or other negotiated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(d) The Issuer’s actions and determinations in determining the redemption price shall be conclusive and binding for all purposes, absent manifest error, and the Trustee shall have no obligation to determine the redemption price.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Payment of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Issuer shall pay or cause to be paid the principal of, premium, if any, and interest on the Notes on the dates and in the manner provided in the Notes. Principal, premium, if any, and interest shall be considered paid for all purposes hereunder on the date the Trustee or the Paying Agent (if other than the Issuer or a Subsidiary thereof) holds, as of 11:00 a.m. (New York City time) on the relevant payment date, U.S. dollars deposited by the Issuer in immediately available funds and designated for and sufficient to pay all such principal, premium, if any, and interest then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Issuer shall pay interest (including post-petition interest in any proceeding under any Bankruptcy Law) on overdue principal at the rate equal to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Maintenance of Office or Agency</w:t>
      </w:r>
      <w:r>
        <w:rPr>
          <w:rFonts w:ascii="Times New Roman" w:hAnsi="Times New Roman"/>
          <w:sz w:val="20"/>
        </w:rPr>
        <w:t xml:space="preserve">. The Issuer shall maintain an office or agency in the United States where Notes may be surrendered for registration of transfer or for exchange and where notices and demands to or upon the Issuer and any Subsidiary Guarantor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Issuer may also from time to time designate one or more other offices or agencies where the Notes may be presented or surrendered for any or all such purposes and may from time to time rescind such designations; </w:t>
      </w:r>
      <w:r>
        <w:rPr>
          <w:rFonts w:ascii="Times New Roman" w:hAnsi="Times New Roman"/>
          <w:sz w:val="20"/>
          <w:u w:val="single"/>
        </w:rPr>
        <w:t>provided</w:t>
      </w:r>
      <w:r>
        <w:rPr>
          <w:rFonts w:ascii="Times New Roman" w:hAnsi="Times New Roman"/>
          <w:sz w:val="20"/>
        </w:rPr>
        <w:t xml:space="preserve"> that no such designation or rescission shall in any manner relieve the Issuer of its obligation to maintain an office or agency in the United States for such purposes. The Issuer shall give prompt written notice to the Trustee of any such designation or rescission and of any change in the location of any such other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The Issuer hereby designates the Corporate Trust Office of the Trustee as one such office or agency of the Issuer in accordance with Section 2.3.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Reporting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Whether or not the Issuer is subject to Section 13(a) or 15(d) of the Exchange Act, or any successor provision thereto, the Issuer shall provide to the Trustee and, upon request, Holders the annual reports, quarterly reports and other reports which the Issuer would have been required to file with the SEC pursuant to such Section 13(a) or 15(d), or any successor provision thereto, if the Issuer were so required, such documents to be provided to the Trustee and Holders within 15 days after the respective dates by which the Issuer would have been required to file such documents with the SEC if the Issuer were so required (after giving effect to all applicable grace periods under the Exchange Act and the rules, regulations and orders of the SEC thereunder); </w:t>
      </w:r>
      <w:r>
        <w:rPr>
          <w:rFonts w:ascii="Times New Roman" w:hAnsi="Times New Roman"/>
          <w:sz w:val="20"/>
          <w:u w:val="single"/>
        </w:rPr>
        <w:t>provided</w:t>
      </w:r>
      <w:r>
        <w:rPr>
          <w:rFonts w:ascii="Times New Roman" w:hAnsi="Times New Roman"/>
          <w:sz w:val="20"/>
        </w:rPr>
        <w:t xml:space="preserve"> that any such reports and documents filed with the SEC pursuant to its Electronic Data Gathering, Analysis and Retrieval system (“</w:t>
      </w:r>
      <w:r>
        <w:rPr>
          <w:rFonts w:ascii="Times New Roman" w:hAnsi="Times New Roman"/>
          <w:i/>
          <w:sz w:val="20"/>
        </w:rPr>
        <w:t>EDGAR</w:t>
      </w:r>
      <w:r>
        <w:rPr>
          <w:rFonts w:ascii="Times New Roman" w:hAnsi="Times New Roman"/>
          <w:sz w:val="20"/>
        </w:rPr>
        <w:t xml:space="preserve">”) (or any successor system) or made publicly available on the Issuer’s website shall be deemed to have been delivered to the Trustee and the Holders of Notes for purposes of the foregoing requirements. The reports so provided will be prepared in all material respects in accordance with the rules and regulations of the SEC with respect to such reports, except they need not contain the information that would be required by Items 3-09, 3-10, 3-16, 13-01 or 13-02 of Regulation S-X promulgated by the SEC. </w:t>
      </w:r>
    </w:p>
    <w:p>
      <w:pPr>
        <w:pStyle w:val="TextBody"/>
        <w:bidi w:val="0"/>
        <w:spacing w:before="120" w:after="0"/>
        <w:jc w:val="left"/>
        <w:rPr>
          <w:rFonts w:ascii="Times New Roman" w:hAnsi="Times New Roman"/>
          <w:sz w:val="20"/>
        </w:rPr>
      </w:pPr>
      <w:r>
        <w:rPr>
          <w:rFonts w:ascii="Times New Roman" w:hAnsi="Times New Roman"/>
          <w:sz w:val="20"/>
        </w:rPr>
        <w:t xml:space="preserve">(b) So long as any of the Notes remain outstanding, if at any time the Issuer is not subject to Section 13(a) or 15(d) under the Exchange Act, the Issuer will make available to any prospective purchaser of Notes or beneficial owner of Notes, upon their request, the information required by Rule 144A(d)(4) under the Securities Act until such time as the Holders of the Notes, other than Holders that are Affiliates of the Issuer, are able to sell all such Notes immediately without restriction pursuant to the provisions of Rule 144 under the Securities Act, or any successor provision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the event that any direct or indirect parent company of the Issuer becomes a guarantor of the Notes, the Issuer may satisfy its obligations under this Section 4.3 with respect to financial information relating to the Issuer by furnishing financial information relating to such parent company; </w:t>
      </w:r>
      <w:r>
        <w:rPr>
          <w:rFonts w:ascii="Times New Roman" w:hAnsi="Times New Roman"/>
          <w:sz w:val="20"/>
          <w:u w:val="single"/>
        </w:rPr>
        <w:t>provided</w:t>
      </w:r>
      <w:r>
        <w:rPr>
          <w:rFonts w:ascii="Times New Roman" w:hAnsi="Times New Roman"/>
          <w:sz w:val="20"/>
        </w:rPr>
        <w:t xml:space="preserve"> that the same is accompanied by consolidating information that explains in reasonable detail the differences between the information relating to such parent, on the one hand, and the information relating to the Issuer and its Subsidiaries on a standalone basis, on the other hand. </w:t>
      </w:r>
    </w:p>
    <w:p>
      <w:pPr>
        <w:pStyle w:val="TextBody"/>
        <w:bidi w:val="0"/>
        <w:spacing w:before="120" w:after="0"/>
        <w:jc w:val="left"/>
        <w:rPr>
          <w:rFonts w:ascii="Times New Roman" w:hAnsi="Times New Roman"/>
          <w:sz w:val="20"/>
        </w:rPr>
      </w:pPr>
      <w:r>
        <w:rPr>
          <w:rFonts w:ascii="Times New Roman" w:hAnsi="Times New Roman"/>
          <w:sz w:val="20"/>
        </w:rPr>
        <w:t xml:space="preserve">(d) Any and all Defaults or Events of Default arising from a failure to furnish in a timely manner any information required by this Section 4.3 shall be deemed cured (and the Issuer shall be deemed to be in compliance with this Section 4.3) upon furnishing such information as contemplated by this Section 4.3 (but without regard to the date on which such financial statement or report is so furnished). </w:t>
      </w:r>
    </w:p>
    <w:p>
      <w:pPr>
        <w:pStyle w:val="TextBody"/>
        <w:bidi w:val="0"/>
        <w:spacing w:before="120" w:after="0"/>
        <w:jc w:val="left"/>
        <w:rPr>
          <w:rFonts w:ascii="Times New Roman" w:hAnsi="Times New Roman"/>
          <w:sz w:val="20"/>
        </w:rPr>
      </w:pPr>
      <w:r>
        <w:rPr>
          <w:rFonts w:ascii="Times New Roman" w:hAnsi="Times New Roman"/>
          <w:sz w:val="20"/>
        </w:rPr>
        <w:t xml:space="preserve">(e) Delivery of reports and documents to the Trustee is for informational purposes only and the Trustee’s receipt of such shall not constitute actual or constructive knowledge or notice of any information contained therein or determinable from information contained therein, including the Issuer’s or any Subsidiary Guarantor’s, as the case may be, compliance with any of its covenants under this Indenture (as to which the Trustee is entitled to rely exclusively on Officer’s Certificates of the Issuer). The Trustee shall have no obligation or responsibility to determine whether the Issuer is required to file any reports or other information with the SEC, whether the Issuer’s information is available on EDGAR (or any successor system) or whether the Issuer has otherwise delivered any notice or report in accordance with the requirements specified in this Section 4.3.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Compliance Certificate</w:t>
      </w:r>
      <w:r>
        <w:rPr>
          <w:rFonts w:ascii="Times New Roman" w:hAnsi="Times New Roman"/>
          <w:sz w:val="20"/>
        </w:rPr>
        <w:t xml:space="preserve">. The Issuer shall deliver to the Trustee, within 120 days after the end of each fiscal year, beginning with the fiscal year ending December 31, 2026, a certificate indicating whether the signers thereof know of any Default that occurred during the previous year. The Issuer shall deliver to the Trustee, within 10 Business Days after the occurrence thereof following the date on which the Issuer becomes aware of such Default, receives notice of such Default or becomes aware of such action, as applicable, a certificate specifying any events that would constitute a Default, their status and what action the Issuer is taking or proposing to take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Waiver of Stay or Extension Laws</w:t>
      </w:r>
      <w:r>
        <w:rPr>
          <w:rFonts w:ascii="Times New Roman" w:hAnsi="Times New Roman"/>
          <w:sz w:val="20"/>
        </w:rPr>
        <w:t xml:space="preserve">. The Issuer and any Subsidiary Guarantor covenants (to the extent that they may lawfully do so) that they shall not at any time insist upon, or plead, or in any manner whatsoever claim or take the benefit or advantage of, any stay or extension law wherever enacted, now or at any time hereafter in force, that may affect the covenants or the performance of this Indenture, and the Issuer and any Subsidiary Guarantor (to the extent that they may lawfully do so) hereby expressly waive all benefit or advantage of any such law and covenants that they shall not hinder, delay or impede the execution of any power herein granted to the Trustee, but shall suffer and permit the execution of every such power as though no such law had been enacted.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4.7. </w:t>
      </w:r>
      <w:r>
        <w:rPr>
          <w:rFonts w:ascii="Times New Roman" w:hAnsi="Times New Roman"/>
          <w:sz w:val="20"/>
          <w:u w:val="single"/>
        </w:rPr>
        <w:t>Limitation on Restricted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Issuer shall not, and shall not permit any Restricted Subsidiary to: </w:t>
      </w:r>
    </w:p>
    <w:p>
      <w:pPr>
        <w:pStyle w:val="TextBody"/>
        <w:bidi w:val="0"/>
        <w:spacing w:before="120" w:after="0"/>
        <w:jc w:val="left"/>
        <w:rPr>
          <w:rFonts w:ascii="Times New Roman" w:hAnsi="Times New Roman"/>
          <w:sz w:val="20"/>
        </w:rPr>
      </w:pPr>
      <w:r>
        <w:rPr>
          <w:rFonts w:ascii="Times New Roman" w:hAnsi="Times New Roman"/>
          <w:sz w:val="20"/>
        </w:rPr>
        <w:t xml:space="preserve">(1) directly or indirectly, declare or pay any dividend on, or make any distribution (including any payment in connection with any merger or consolidation derived from assets of the Issuer or any Restricted Subsidiary) in respect of its Capital Stock or to the holders thereof in their capacity as holders of Capital Stock, other than: </w:t>
      </w:r>
    </w:p>
    <w:p>
      <w:pPr>
        <w:pStyle w:val="TextBody"/>
        <w:bidi w:val="0"/>
        <w:spacing w:before="120" w:after="0"/>
        <w:jc w:val="left"/>
        <w:rPr>
          <w:rFonts w:ascii="Times New Roman" w:hAnsi="Times New Roman"/>
          <w:sz w:val="20"/>
        </w:rPr>
      </w:pPr>
      <w:r>
        <w:rPr>
          <w:rFonts w:ascii="Times New Roman" w:hAnsi="Times New Roman"/>
          <w:sz w:val="20"/>
        </w:rPr>
        <w:t xml:space="preserve">(A) any dividends or distributions by the Issuer payable solely in shares of its Capital Stock (other than Redeemable Stock) or in options, warrants or other rights to acquire its Capital Stock (other than Redeemable Stock), and </w:t>
      </w:r>
    </w:p>
    <w:p>
      <w:pPr>
        <w:pStyle w:val="TextBody"/>
        <w:bidi w:val="0"/>
        <w:spacing w:before="120" w:after="0"/>
        <w:jc w:val="left"/>
        <w:rPr>
          <w:rFonts w:ascii="Times New Roman" w:hAnsi="Times New Roman"/>
          <w:sz w:val="20"/>
        </w:rPr>
      </w:pPr>
      <w:r>
        <w:rPr>
          <w:rFonts w:ascii="Times New Roman" w:hAnsi="Times New Roman"/>
          <w:sz w:val="20"/>
        </w:rPr>
        <w:t xml:space="preserve">(B) in the case of a Restricted Subsidiary, dividends or distributions payable to the Issuer or a Restricted Subsidiary or, in the case of dividends or distributions made by a Restricted Subsidiary that is not wholly owned, dividends or distributions are made on a pro rata basis (or on a basis more favorable to the Issuer or such Restricted Subsidiary, as applicable); </w:t>
      </w:r>
    </w:p>
    <w:p>
      <w:pPr>
        <w:pStyle w:val="TextBody"/>
        <w:bidi w:val="0"/>
        <w:spacing w:before="120" w:after="0"/>
        <w:jc w:val="left"/>
        <w:rPr>
          <w:rFonts w:ascii="Times New Roman" w:hAnsi="Times New Roman"/>
          <w:sz w:val="20"/>
        </w:rPr>
      </w:pPr>
      <w:r>
        <w:rPr>
          <w:rFonts w:ascii="Times New Roman" w:hAnsi="Times New Roman"/>
          <w:sz w:val="20"/>
        </w:rPr>
        <w:t xml:space="preserve">(2) purchase, redeem or otherwise acquire or retire for value any Capital Stock of the Issuer or any parent thereof, other than in exchange for Capital Stock (other than Redeemable Stock) of the Issuer; </w:t>
      </w:r>
    </w:p>
    <w:p>
      <w:pPr>
        <w:pStyle w:val="TextBody"/>
        <w:bidi w:val="0"/>
        <w:spacing w:before="120" w:after="0"/>
        <w:jc w:val="left"/>
        <w:rPr>
          <w:rFonts w:ascii="Times New Roman" w:hAnsi="Times New Roman"/>
          <w:sz w:val="20"/>
        </w:rPr>
      </w:pPr>
      <w:r>
        <w:rPr>
          <w:rFonts w:ascii="Times New Roman" w:hAnsi="Times New Roman"/>
          <w:sz w:val="20"/>
        </w:rPr>
        <w:t xml:space="preserve">(3) make any Investment in any Person, other than a Permitted Investment; or </w:t>
      </w:r>
    </w:p>
    <w:p>
      <w:pPr>
        <w:pStyle w:val="TextBody"/>
        <w:bidi w:val="0"/>
        <w:spacing w:before="120" w:after="0"/>
        <w:jc w:val="left"/>
        <w:rPr>
          <w:rFonts w:ascii="Times New Roman" w:hAnsi="Times New Roman"/>
          <w:sz w:val="20"/>
        </w:rPr>
      </w:pPr>
      <w:r>
        <w:rPr>
          <w:rFonts w:ascii="Times New Roman" w:hAnsi="Times New Roman"/>
          <w:sz w:val="20"/>
        </w:rPr>
        <w:t xml:space="preserve">(4) redeem, repurchase, defease, prepay or otherwise acquire or retire for value, prior to any scheduled maturity, repayment or sinking fund payment, any Subordinated Debt (other than (x) Debt owed by the Issuer or any Restricted Subsidiary of the Issuer to another Restricted Subsidiary of the Issuer or the Issuer or (y) any such payment on Debt due within one year of the redemption date, repurchase, defeasance, prepayment, decrease or other acquisition or retirement) </w:t>
      </w:r>
    </w:p>
    <w:p>
      <w:pPr>
        <w:pStyle w:val="TextBody"/>
        <w:bidi w:val="0"/>
        <w:spacing w:before="240" w:after="0"/>
        <w:jc w:val="left"/>
        <w:rPr>
          <w:rFonts w:ascii="Times New Roman" w:hAnsi="Times New Roman"/>
          <w:sz w:val="20"/>
        </w:rPr>
      </w:pPr>
      <w:r>
        <w:rPr>
          <w:rFonts w:ascii="Times New Roman" w:hAnsi="Times New Roman"/>
          <w:sz w:val="20"/>
        </w:rPr>
        <w:t>(each of clauses (1) through (4) being a “</w:t>
      </w:r>
      <w:r>
        <w:rPr>
          <w:rFonts w:ascii="Times New Roman" w:hAnsi="Times New Roman"/>
          <w:i/>
          <w:sz w:val="20"/>
        </w:rPr>
        <w:t>Restricted Payment</w:t>
      </w:r>
      <w:r>
        <w:rPr>
          <w:rFonts w:ascii="Times New Roman" w:hAnsi="Times New Roman"/>
          <w:sz w:val="20"/>
        </w:rPr>
        <w:t xml:space="preserve">”) unless: </w:t>
      </w:r>
    </w:p>
    <w:p>
      <w:pPr>
        <w:pStyle w:val="TextBody"/>
        <w:bidi w:val="0"/>
        <w:spacing w:before="120" w:after="0"/>
        <w:jc w:val="left"/>
        <w:rPr>
          <w:rFonts w:ascii="Times New Roman" w:hAnsi="Times New Roman"/>
          <w:sz w:val="20"/>
        </w:rPr>
      </w:pPr>
      <w:r>
        <w:rPr>
          <w:rFonts w:ascii="Times New Roman" w:hAnsi="Times New Roman"/>
          <w:sz w:val="20"/>
        </w:rPr>
        <w:t xml:space="preserve">(i) no Default or Event of Default has occurred and is continuing or would result from such Restricted Payment; </w:t>
      </w:r>
    </w:p>
    <w:p>
      <w:pPr>
        <w:pStyle w:val="TextBody"/>
        <w:bidi w:val="0"/>
        <w:spacing w:before="120" w:after="0"/>
        <w:jc w:val="left"/>
        <w:rPr>
          <w:rFonts w:ascii="Times New Roman" w:hAnsi="Times New Roman"/>
          <w:sz w:val="20"/>
        </w:rPr>
      </w:pPr>
      <w:r>
        <w:rPr>
          <w:rFonts w:ascii="Times New Roman" w:hAnsi="Times New Roman"/>
          <w:sz w:val="20"/>
        </w:rPr>
        <w:t xml:space="preserve">(ii) after giving pro forma effect to such Restricted Payment as if such Restricted Payment had been made at the beginning of the applicable four-fiscal-quarter period, the Issuer could Incur at least $1.00 of additional Debt pursuant to Section 4.9(a);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upon giving effect to such Restricted Payment, the aggregate of all Restricted Payments declared or made subsequent to the Issue Date (other than pursuant to clauses (2) and (4) through (13) of Section 4.7(b)) does not exceed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 of cumulative Consolidated Net Income (or, in the case Consolidated Net Income shall be negative, less 100% of such deficit) of the Issuer since October 1, 2024 through the last day of the last full fiscal quarter ending immediately preceding the date of such Restricted Payment for which quarterly or annual financial statements are publicly available (taken as a single accounting period); plus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100% of the aggregate net cash proceeds, and the Fair Market Value of property other than cash, in each case received by the Issuer or a Restricted Subsidiary after the Issue Date from contributions of capital or the issuance and sale (other than to a Subsidiary of the Issuer) of Capital Stock (other than Redeemable Stock) of the Issuer or any options, warrants or other rights to acquire Capital Stock (other than Redeemable Stock) of the Issuer, or any net payment received by the Issuer in connection with the termination or settlement of options relating to its Capital Stock; </w:t>
            </w:r>
            <w:r>
              <w:rPr>
                <w:rFonts w:ascii="Times New Roman" w:hAnsi="Times New Roman"/>
                <w:sz w:val="20"/>
                <w:u w:val="single"/>
              </w:rPr>
              <w:t>provided</w:t>
            </w:r>
            <w:r>
              <w:rPr>
                <w:rFonts w:ascii="Times New Roman" w:hAnsi="Times New Roman"/>
                <w:sz w:val="20"/>
              </w:rPr>
              <w:t xml:space="preserve"> that any such net proceeds received by the Issuer from an employee stock ownership plan financed by loans from the Issuer or a Subsidiary of the Issuer shall be included only to the extent such loans have been repaid with cash on or prior to the date of determination, (ii) 100% of the aggregate net cash proceeds received by the Issuer after the Issue Date from the issuance and sale of convertible or exchangeable Debt of the Issuer that has been converted into or exchanged for Capital Stock (other than (1) Redeemable Stock or (2) by or from a Subsidiary of the Issuer) of the Issuer; </w:t>
            </w:r>
            <w:r>
              <w:rPr>
                <w:rFonts w:ascii="Times New Roman" w:hAnsi="Times New Roman"/>
                <w:sz w:val="20"/>
                <w:u w:val="single"/>
              </w:rPr>
              <w:t>provided</w:t>
            </w:r>
            <w:r>
              <w:rPr>
                <w:rFonts w:ascii="Times New Roman" w:hAnsi="Times New Roman"/>
                <w:sz w:val="20"/>
              </w:rPr>
              <w:t xml:space="preserve"> that any such net proceeds received by the Issuer from an employee stock ownership plan financed by loans from the Issuer or a Subsidiary of the Issuer shall be included only to the extent such loans have been repaid with cash on or prior to the date of determination, and (iii) without duplication, any reduction of Debt on the balance sheet of the Issuer to the extent such Debt is converted into or exchanged for Capital Stock of the Issuer (other than Redeemable Stock) after the Issue Date; plus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disposition, liquidation or repayment (including by way of dividends) of Investments by the Issuer and its Restricted Subsidiaries, subsequent to the Issue Date, in any Person subject to clause (3) above, an amount (to the extent not included in Consolidated Net Income) equal to the lesser of the return on capital with respect to such Investment and the initial amount of such Investment, in either case, less the cost of the disposition of such Investment and net of taxes; plus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designation of an Unrestricted Subsidiary as a Restricted Subsidiary, the Fair Market Value of the Issuer’s interest in such Subsidiary; plus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$175.0 million.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(b) Notwithstanding the foregoing, Section 4.7(a) will not prohibit: </w:t>
      </w:r>
    </w:p>
    <w:p>
      <w:pPr>
        <w:pStyle w:val="TextBody"/>
        <w:bidi w:val="0"/>
        <w:spacing w:before="120" w:after="0"/>
        <w:jc w:val="left"/>
        <w:rPr>
          <w:rFonts w:ascii="Times New Roman" w:hAnsi="Times New Roman"/>
          <w:sz w:val="20"/>
        </w:rPr>
      </w:pPr>
      <w:r>
        <w:rPr>
          <w:rFonts w:ascii="Times New Roman" w:hAnsi="Times New Roman"/>
          <w:sz w:val="20"/>
        </w:rPr>
        <w:t xml:space="preserve">(1) payment of any dividend on Capital Stock of any class within 60 days after the declaration thereof, or redemption of any Subordinated Debt within 30 days after giving notice of redemption thereof, if, on the date when the dividend was declared or such notice of redemption given, the Issuer or any Restricted Subsidiary could have paid such dividend or redeemed such Subordinated Debt in accordance with this Section 4.7; </w:t>
      </w:r>
    </w:p>
    <w:p>
      <w:pPr>
        <w:pStyle w:val="TextBody"/>
        <w:bidi w:val="0"/>
        <w:spacing w:before="120" w:after="0"/>
        <w:jc w:val="left"/>
        <w:rPr>
          <w:rFonts w:ascii="Times New Roman" w:hAnsi="Times New Roman"/>
          <w:sz w:val="20"/>
        </w:rPr>
      </w:pPr>
      <w:r>
        <w:rPr>
          <w:rFonts w:ascii="Times New Roman" w:hAnsi="Times New Roman"/>
          <w:sz w:val="20"/>
        </w:rPr>
        <w:t xml:space="preserve">(2) repayment or refinancing of any Subordinated Debt with Permitted Refinancing Debt, or any Restricted Payment made in exchange for, by conversion into or out of the net proceeds of the substantially concurrent sale (other than from or to a Subsidiary of the Issuer or from or to an employee stock ownership plan financed by loans from the Issuer or a Subsidiary of the Issuer) of shares of Capital Stock (other than Redeemable Stock) of the Issuer or from the net cash proceeds from the substantially concurrent contribution of common equity capital to the Issuer; </w:t>
      </w:r>
    </w:p>
    <w:p>
      <w:pPr>
        <w:pStyle w:val="TextBody"/>
        <w:bidi w:val="0"/>
        <w:spacing w:before="120" w:after="0"/>
        <w:jc w:val="left"/>
        <w:rPr>
          <w:rFonts w:ascii="Times New Roman" w:hAnsi="Times New Roman"/>
          <w:sz w:val="20"/>
        </w:rPr>
      </w:pPr>
      <w:r>
        <w:rPr>
          <w:rFonts w:ascii="Times New Roman" w:hAnsi="Times New Roman"/>
          <w:sz w:val="20"/>
        </w:rPr>
        <w:t xml:space="preserve">(3) the declaration and payment of dividends in an aggregate amount per fiscal quarter not to exceed $0.07 per share of the Issuer’s Common Stock; </w:t>
      </w:r>
    </w:p>
    <w:p>
      <w:pPr>
        <w:pStyle w:val="TextBody"/>
        <w:bidi w:val="0"/>
        <w:spacing w:before="120" w:after="0"/>
        <w:jc w:val="left"/>
        <w:rPr>
          <w:rFonts w:ascii="Times New Roman" w:hAnsi="Times New Roman"/>
          <w:sz w:val="20"/>
        </w:rPr>
      </w:pPr>
      <w:r>
        <w:rPr>
          <w:rFonts w:ascii="Times New Roman" w:hAnsi="Times New Roman"/>
          <w:sz w:val="20"/>
        </w:rPr>
        <w:t xml:space="preserve">(4) the acquisition of shares of Capital Stock in connection with (x) the exercise or vesting of employee or director stock options, stock appreciation rights, restricted stock units and other similar instruments and (y) the withholding of a portion of such Capital Stock to pay taxes associated therewith, and the purchase of fractional shares of Capital Stock of the Issuer or any Restricted Subsidiary arising out of stock dividends, splits or combinations or 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(5) the acquisition of shares of the Issuer’s Capital Stock pursuant to equity repurchases from future, present or former directors, officers or employees (or their respective family members, estates or trusts or other entities for the benefit of any of the foregoing) in an amount of up to $10.0 million per fiscal year; </w:t>
      </w:r>
      <w:r>
        <w:rPr>
          <w:rFonts w:ascii="Times New Roman" w:hAnsi="Times New Roman"/>
          <w:sz w:val="20"/>
          <w:u w:val="single"/>
        </w:rPr>
        <w:t>provided</w:t>
      </w:r>
      <w:r>
        <w:rPr>
          <w:rFonts w:ascii="Times New Roman" w:hAnsi="Times New Roman"/>
          <w:sz w:val="20"/>
        </w:rPr>
        <w:t xml:space="preserve"> that any unused amounts in any fiscal year may be carried forward to one or more future periods subject to a maximum aggregate amount of repurchases made pursuant to this clause (5) not to exceed $20.0 million in any fiscal year; </w:t>
      </w:r>
    </w:p>
    <w:p>
      <w:pPr>
        <w:pStyle w:val="TextBody"/>
        <w:bidi w:val="0"/>
        <w:spacing w:before="120" w:after="0"/>
        <w:jc w:val="left"/>
        <w:rPr>
          <w:rFonts w:ascii="Times New Roman" w:hAnsi="Times New Roman"/>
          <w:sz w:val="20"/>
        </w:rPr>
      </w:pPr>
      <w:r>
        <w:rPr>
          <w:rFonts w:ascii="Times New Roman" w:hAnsi="Times New Roman"/>
          <w:sz w:val="20"/>
        </w:rPr>
        <w:t xml:space="preserve">(6) dividends on Redeemable Stock of the Issuer or a Restricted Subsidiary, or dividends on Preferred Stock of a Restricted Subsidiary that is not a Subsidiary Guarantor, in each case incurred in compliance with Section 4.9;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the payment of cash in lieu of the issuance of Capital Stock in connection with the conversion, retirement, repurchase or redemption of any series of Convertible Debt securities of the Issuer or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(8) upon the occurrence of a Change of Control or an Asset Disposition and after the completion of the offer to purchase under Section 4.10 or Section 4.14 (including the purchase of all Notes tendered and required to be purchased), any purchase, repurchase, redemption, defeasance, acquisition or other retirement for value of Subordinated Debt required under the terms thereof as a result of such Change of Control or Asset Disposition at a purchase or redemption price not to exceed 101% (in the case of a Change of Control) or 100% (in the case of an Asset Disposition) of the outstanding principal amount thereof, plus accrued and unpaid interest thereon, if any; </w:t>
      </w:r>
      <w:r>
        <w:rPr>
          <w:rFonts w:ascii="Times New Roman" w:hAnsi="Times New Roman"/>
          <w:sz w:val="20"/>
          <w:u w:val="single"/>
        </w:rPr>
        <w:t>provided</w:t>
      </w:r>
      <w:r>
        <w:rPr>
          <w:rFonts w:ascii="Times New Roman" w:hAnsi="Times New Roman"/>
          <w:sz w:val="20"/>
        </w:rPr>
        <w:t xml:space="preserve"> that, in the case of an Asset Disposition, such purchase, repurchase, redemption, defeasance, acquisition or other retirement for value of Subordinated Debt does not exceed the Net Available Proceeds from such Asset Disposition; </w:t>
      </w:r>
    </w:p>
    <w:p>
      <w:pPr>
        <w:pStyle w:val="TextBody"/>
        <w:bidi w:val="0"/>
        <w:spacing w:before="120" w:after="0"/>
        <w:jc w:val="left"/>
        <w:rPr>
          <w:rFonts w:ascii="Times New Roman" w:hAnsi="Times New Roman"/>
          <w:sz w:val="20"/>
        </w:rPr>
      </w:pPr>
      <w:r>
        <w:rPr>
          <w:rFonts w:ascii="Times New Roman" w:hAnsi="Times New Roman"/>
          <w:sz w:val="20"/>
        </w:rPr>
        <w:t xml:space="preserve">(9) the payment of the deferred purchase price or earn-outs, including holdbacks (and the receipt of any corresponding consideration therefor), or payments with respect to fractional shares, in each case in connection with an acquisition to the extent such payment would have been permitted by this Indenture at the time of such acquisition; </w:t>
      </w:r>
    </w:p>
    <w:p>
      <w:pPr>
        <w:pStyle w:val="TextBody"/>
        <w:bidi w:val="0"/>
        <w:spacing w:before="120" w:after="0"/>
        <w:jc w:val="left"/>
        <w:rPr>
          <w:rFonts w:ascii="Times New Roman" w:hAnsi="Times New Roman"/>
          <w:sz w:val="20"/>
        </w:rPr>
      </w:pPr>
      <w:r>
        <w:rPr>
          <w:rFonts w:ascii="Times New Roman" w:hAnsi="Times New Roman"/>
          <w:sz w:val="20"/>
        </w:rPr>
        <w:t xml:space="preserve">(10) Restricted Payments, so long as the Total Net Leverage Ratio would not exceed 4.50 to 1.00; </w:t>
      </w:r>
    </w:p>
    <w:p>
      <w:pPr>
        <w:pStyle w:val="TextBody"/>
        <w:bidi w:val="0"/>
        <w:spacing w:before="120" w:after="0"/>
        <w:jc w:val="left"/>
        <w:rPr>
          <w:rFonts w:ascii="Times New Roman" w:hAnsi="Times New Roman"/>
          <w:sz w:val="20"/>
        </w:rPr>
      </w:pPr>
      <w:r>
        <w:rPr>
          <w:rFonts w:ascii="Times New Roman" w:hAnsi="Times New Roman"/>
          <w:sz w:val="20"/>
        </w:rPr>
        <w:t xml:space="preserve">(11) Restricted Payments in an aggregate amount not to exceed the greater of (x) $350.0 million and (y) 3.0% of Consolidated Total Assets in any fiscal year; </w:t>
      </w:r>
    </w:p>
    <w:p>
      <w:pPr>
        <w:pStyle w:val="TextBody"/>
        <w:bidi w:val="0"/>
        <w:spacing w:before="120" w:after="0"/>
        <w:jc w:val="left"/>
        <w:rPr>
          <w:rFonts w:ascii="Times New Roman" w:hAnsi="Times New Roman"/>
          <w:sz w:val="20"/>
        </w:rPr>
      </w:pPr>
      <w:r>
        <w:rPr>
          <w:rFonts w:ascii="Times New Roman" w:hAnsi="Times New Roman"/>
          <w:sz w:val="20"/>
        </w:rPr>
        <w:t xml:space="preserve">(12) Restricted Payments between and among the Issuer and/or any of its Restricted Subsidiaries relating to any intercompany restructuring and savings initiative or organizational realignment; and </w:t>
      </w:r>
    </w:p>
    <w:p>
      <w:pPr>
        <w:pStyle w:val="TextBody"/>
        <w:bidi w:val="0"/>
        <w:spacing w:before="120" w:after="0"/>
        <w:jc w:val="left"/>
        <w:rPr>
          <w:rFonts w:ascii="Times New Roman" w:hAnsi="Times New Roman"/>
          <w:sz w:val="20"/>
        </w:rPr>
      </w:pPr>
      <w:r>
        <w:rPr>
          <w:rFonts w:ascii="Times New Roman" w:hAnsi="Times New Roman"/>
          <w:sz w:val="20"/>
        </w:rPr>
        <w:t xml:space="preserve">(13) payments or distributions to the stockholders of the Issuer or any Restricted Subsidiary to satisfy dissenters’ or appraisal rights and the settlement of any claims or actions (whether actual, contingent or potential) with respect thereto, pursuant to applicable law or pursuant to or in connection with a consolidation, amalgamation, merger or transfer of assets that complies with the terms of this Indenture;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at the time of, and after giving effect to, any Restricted Payment permitted under clauses (3), (5), (6), (10) and (11), no Default or Event of Default shall have occurred and be continuing or would otherwise occur as a consequence thereof. </w:t>
      </w:r>
    </w:p>
    <w:p>
      <w:pPr>
        <w:pStyle w:val="TextBody"/>
        <w:bidi w:val="0"/>
        <w:spacing w:before="120" w:after="0"/>
        <w:jc w:val="left"/>
        <w:rPr>
          <w:rFonts w:ascii="Times New Roman" w:hAnsi="Times New Roman"/>
          <w:sz w:val="20"/>
        </w:rPr>
      </w:pPr>
      <w:r>
        <w:rPr>
          <w:rFonts w:ascii="Times New Roman" w:hAnsi="Times New Roman"/>
          <w:sz w:val="20"/>
        </w:rPr>
        <w:t xml:space="preserve">The amount of net proceeds from any exchange for, conversion into or sale of Capital Stock of the Issuer pursuant to Section 4.7(b)(2) shall be excluded from the calculation of the amount available for Restricted Payments pursuant to clause (iii)(2) of Section 4.7(a).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For purposes of determining compliance with this Section 4.7, if a Restricted Payment meets the criteria of more than one of the types of Restricted Payments described in clauses (1) through (13) of Section 4.7(b) or pursuant to Section 4.7(a), the Issuer, in its sole discretion, may order and classify, and subsequently reorder and reclassify, such Restricted Payment in any manner in compliance with this Section 4.7. </w:t>
      </w:r>
    </w:p>
    <w:p>
      <w:pPr>
        <w:pStyle w:val="TextBody"/>
        <w:bidi w:val="0"/>
        <w:spacing w:before="240" w:after="0"/>
        <w:jc w:val="left"/>
        <w:rPr>
          <w:rFonts w:ascii="Times New Roman" w:hAnsi="Times New Roman"/>
          <w:sz w:val="20"/>
        </w:rPr>
      </w:pPr>
      <w:r>
        <w:rPr>
          <w:rFonts w:ascii="Times New Roman" w:hAnsi="Times New Roman"/>
          <w:sz w:val="20"/>
        </w:rPr>
        <w:t xml:space="preserve">SECTION 4.8. </w:t>
      </w:r>
      <w:r>
        <w:rPr>
          <w:rFonts w:ascii="Times New Roman" w:hAnsi="Times New Roman"/>
          <w:sz w:val="20"/>
          <w:u w:val="single"/>
        </w:rPr>
        <w:t>Limitation on Dividend and Other Payment Restrictions Affecting Restricted 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Issuer shall not, and shall not permit any Restricted Subsidiary to, directly or indirectly, create or otherwise cause or suffer to exist or become effective any encumbrance or restriction on the ability of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(1) to pay dividends (in cash or otherwise) or make any other distributions in respect of its Capital Stock owned by the Issuer or any other Restricted Subsidiary or pay any Debt or other obligation owed to the Issuer or any other Restricted Subsidiary (it being understood that the priority of any Preferred Stock in receiving dividends, distributions or liquidating distributions prior to dividends, distributions or liquidating distributions being paid on Capital Stock shall not be deemed a restriction on the ability to make distributions on Capital Stock and any subordination of any obligation to any other obligation shall not be deemed a restriction on the ability to pay any Debt or other obligation); </w:t>
      </w:r>
    </w:p>
    <w:p>
      <w:pPr>
        <w:pStyle w:val="TextBody"/>
        <w:bidi w:val="0"/>
        <w:spacing w:before="120" w:after="0"/>
        <w:jc w:val="left"/>
        <w:rPr>
          <w:rFonts w:ascii="Times New Roman" w:hAnsi="Times New Roman"/>
          <w:sz w:val="20"/>
        </w:rPr>
      </w:pPr>
      <w:r>
        <w:rPr>
          <w:rFonts w:ascii="Times New Roman" w:hAnsi="Times New Roman"/>
          <w:sz w:val="20"/>
        </w:rPr>
        <w:t xml:space="preserve">(2) to make loans or advances to the Issuer or any other Restricted Subsidiary (it being understood that the subordination of loans and advances to the Issuer or any of its Restricted Subsidiaries to other Debt incurred by the Issuer or any of its Restricted Subsidiaries shall not be deemed a restriction on the ability to make loans or advances); or </w:t>
      </w:r>
    </w:p>
    <w:p>
      <w:pPr>
        <w:pStyle w:val="TextBody"/>
        <w:bidi w:val="0"/>
        <w:spacing w:before="120" w:after="0"/>
        <w:jc w:val="left"/>
        <w:rPr>
          <w:rFonts w:ascii="Times New Roman" w:hAnsi="Times New Roman"/>
          <w:sz w:val="20"/>
        </w:rPr>
      </w:pPr>
      <w:r>
        <w:rPr>
          <w:rFonts w:ascii="Times New Roman" w:hAnsi="Times New Roman"/>
          <w:sz w:val="20"/>
        </w:rPr>
        <w:t xml:space="preserve">(3) otherwise to transfer any of its property or assets to the Issuer or any other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the restrictions in Section 4.8(a), the Issuer may, and may permit any Restricted Subsidiary to, suffer to exist any such encumbrance or restriction: </w:t>
      </w:r>
    </w:p>
    <w:p>
      <w:pPr>
        <w:pStyle w:val="TextBody"/>
        <w:bidi w:val="0"/>
        <w:spacing w:before="120" w:after="0"/>
        <w:jc w:val="left"/>
        <w:rPr>
          <w:rFonts w:ascii="Times New Roman" w:hAnsi="Times New Roman"/>
          <w:sz w:val="20"/>
        </w:rPr>
      </w:pPr>
      <w:r>
        <w:rPr>
          <w:rFonts w:ascii="Times New Roman" w:hAnsi="Times New Roman"/>
          <w:sz w:val="20"/>
        </w:rPr>
        <w:t xml:space="preserve">(1) pursuant to any agreement in effect on the Issue Date (including the New ABL Credit Agreement and the Existing Indentures); </w:t>
      </w:r>
    </w:p>
    <w:p>
      <w:pPr>
        <w:pStyle w:val="TextBody"/>
        <w:bidi w:val="0"/>
        <w:spacing w:before="120" w:after="0"/>
        <w:jc w:val="left"/>
        <w:rPr>
          <w:rFonts w:ascii="Times New Roman" w:hAnsi="Times New Roman"/>
          <w:sz w:val="20"/>
        </w:rPr>
      </w:pPr>
      <w:r>
        <w:rPr>
          <w:rFonts w:ascii="Times New Roman" w:hAnsi="Times New Roman"/>
          <w:sz w:val="20"/>
        </w:rPr>
        <w:t xml:space="preserve">(2) pursuant to this Indenture, the Notes and the Subsidiary Guarantees,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pursuant to an agreement relating to any Debt Incurred by or Capital Stock of a Person (other than a Restricted Subsidiary existing on the Issue Date or any Restricted Subsidiary carrying on any of the businesses of any such Restricted Subsidiary) prior to the date on which such Person became a Restricted Subsidiary and outstanding on such date and not Incurred in connection with, or anticipation of, becoming a Restricted Subsidiary, which encumbrance or restriction is not applicable to any Person, or the properties or assets of any Person, other than the Person so acquired; </w:t>
      </w:r>
      <w:r>
        <w:rPr>
          <w:rFonts w:ascii="Times New Roman" w:hAnsi="Times New Roman"/>
          <w:sz w:val="20"/>
          <w:u w:val="single"/>
        </w:rPr>
        <w:t>provided</w:t>
      </w:r>
      <w:r>
        <w:rPr>
          <w:rFonts w:ascii="Times New Roman" w:hAnsi="Times New Roman"/>
          <w:sz w:val="20"/>
        </w:rPr>
        <w:t xml:space="preserve"> that the Incurrence of such Debt was permitted under Section 4.9; </w:t>
      </w:r>
    </w:p>
    <w:p>
      <w:pPr>
        <w:pStyle w:val="TextBody"/>
        <w:bidi w:val="0"/>
        <w:spacing w:before="120" w:after="0"/>
        <w:jc w:val="left"/>
        <w:rPr>
          <w:rFonts w:ascii="Times New Roman" w:hAnsi="Times New Roman"/>
          <w:sz w:val="20"/>
        </w:rPr>
      </w:pPr>
      <w:r>
        <w:rPr>
          <w:rFonts w:ascii="Times New Roman" w:hAnsi="Times New Roman"/>
          <w:sz w:val="20"/>
        </w:rPr>
        <w:t xml:space="preserve">(4) pursuant to an agreement effecting a renewal, refunding, replacement, refinancing or extension of Debt Incurred pursuant to an agreement referred to in clause (1) or (3) of this Section 4.8(b);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provisions contained in such renewal, refunding, replacement, refinancing or extension agreement relating to such encumbrance or restriction are not materially more restrictive, taken as a whole, than the provisions contained in the agreement being renewed, refunded, replaced, refinanced or extended, in each case as determined in good faith by the Board of Directors or an Officer of the Issuer; </w:t>
      </w:r>
    </w:p>
    <w:p>
      <w:pPr>
        <w:pStyle w:val="TextBody"/>
        <w:bidi w:val="0"/>
        <w:spacing w:before="120" w:after="0"/>
        <w:jc w:val="left"/>
        <w:rPr>
          <w:rFonts w:ascii="Times New Roman" w:hAnsi="Times New Roman"/>
          <w:sz w:val="20"/>
        </w:rPr>
      </w:pPr>
      <w:r>
        <w:rPr>
          <w:rFonts w:ascii="Times New Roman" w:hAnsi="Times New Roman"/>
          <w:sz w:val="20"/>
        </w:rPr>
        <w:t xml:space="preserve">(5) in any security agreement (including a Finance Lease Obligation) securing Debt of a Restricted Subsidiary otherwise permitted under this Indenture; </w:t>
      </w:r>
      <w:r>
        <w:rPr>
          <w:rFonts w:ascii="Times New Roman" w:hAnsi="Times New Roman"/>
          <w:sz w:val="20"/>
          <w:u w:val="single"/>
        </w:rPr>
        <w:t>provided</w:t>
      </w:r>
      <w:r>
        <w:rPr>
          <w:rFonts w:ascii="Times New Roman" w:hAnsi="Times New Roman"/>
          <w:sz w:val="20"/>
        </w:rPr>
        <w:t xml:space="preserve"> that any such encumbrance or restriction is released to the extent the underlying Lien is released or the related Debt repaid; </w:t>
      </w:r>
    </w:p>
    <w:p>
      <w:pPr>
        <w:pStyle w:val="TextBody"/>
        <w:bidi w:val="0"/>
        <w:spacing w:before="120" w:after="0"/>
        <w:jc w:val="left"/>
        <w:rPr>
          <w:rFonts w:ascii="Times New Roman" w:hAnsi="Times New Roman"/>
          <w:sz w:val="20"/>
        </w:rPr>
      </w:pPr>
      <w:r>
        <w:rPr>
          <w:rFonts w:ascii="Times New Roman" w:hAnsi="Times New Roman"/>
          <w:sz w:val="20"/>
        </w:rPr>
        <w:t xml:space="preserve">(6) in any customary non-assignment provision entered into in the ordinary course of business in licenses, leases and other contracts to the extent such provisions restrict the transfer, assignment or subletting of any such license or lease or the assignment of rights under any such contract; </w:t>
      </w:r>
    </w:p>
    <w:p>
      <w:pPr>
        <w:pStyle w:val="TextBody"/>
        <w:bidi w:val="0"/>
        <w:spacing w:before="120" w:after="0"/>
        <w:jc w:val="left"/>
        <w:rPr>
          <w:rFonts w:ascii="Times New Roman" w:hAnsi="Times New Roman"/>
          <w:sz w:val="20"/>
        </w:rPr>
      </w:pPr>
      <w:r>
        <w:rPr>
          <w:rFonts w:ascii="Times New Roman" w:hAnsi="Times New Roman"/>
          <w:sz w:val="20"/>
        </w:rPr>
        <w:t xml:space="preserve">(7) with respect to a Restricted Subsidiary, imposed pursuant to an agreement which has been entered into for the sale or disposition of all or substantially all of the Capital Stock or assets of such Restricted Subsidiary; </w:t>
      </w:r>
      <w:r>
        <w:rPr>
          <w:rFonts w:ascii="Times New Roman" w:hAnsi="Times New Roman"/>
          <w:sz w:val="20"/>
          <w:u w:val="single"/>
        </w:rPr>
        <w:t>provided</w:t>
      </w:r>
      <w:r>
        <w:rPr>
          <w:rFonts w:ascii="Times New Roman" w:hAnsi="Times New Roman"/>
          <w:sz w:val="20"/>
        </w:rPr>
        <w:t xml:space="preserve"> that such restriction terminates if such transaction is closed or abandoned; </w:t>
      </w:r>
    </w:p>
    <w:p>
      <w:pPr>
        <w:pStyle w:val="TextBody"/>
        <w:bidi w:val="0"/>
        <w:spacing w:before="120" w:after="0"/>
        <w:jc w:val="left"/>
        <w:rPr>
          <w:rFonts w:ascii="Times New Roman" w:hAnsi="Times New Roman"/>
          <w:sz w:val="20"/>
        </w:rPr>
      </w:pPr>
      <w:r>
        <w:rPr>
          <w:rFonts w:ascii="Times New Roman" w:hAnsi="Times New Roman"/>
          <w:sz w:val="20"/>
        </w:rPr>
        <w:t xml:space="preserve">(8) pursuant to restrictions on cash or other deposits or net worth imposed by customers under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(9) by virtue of any Restricted Investment not prohibited by Section 4.7 or any Permitted Investment; </w:t>
      </w:r>
    </w:p>
    <w:p>
      <w:pPr>
        <w:pStyle w:val="TextBody"/>
        <w:bidi w:val="0"/>
        <w:spacing w:before="120" w:after="0"/>
        <w:jc w:val="left"/>
        <w:rPr>
          <w:rFonts w:ascii="Times New Roman" w:hAnsi="Times New Roman"/>
          <w:sz w:val="20"/>
        </w:rPr>
      </w:pPr>
      <w:r>
        <w:rPr>
          <w:rFonts w:ascii="Times New Roman" w:hAnsi="Times New Roman"/>
          <w:sz w:val="20"/>
        </w:rPr>
        <w:t xml:space="preserve">(10) of a Receivables Subsidiary effected in connection with a Permitted Securitization; </w:t>
      </w:r>
      <w:r>
        <w:rPr>
          <w:rFonts w:ascii="Times New Roman" w:hAnsi="Times New Roman"/>
          <w:sz w:val="20"/>
          <w:u w:val="single"/>
        </w:rPr>
        <w:t>provided</w:t>
      </w:r>
      <w:r>
        <w:rPr>
          <w:rFonts w:ascii="Times New Roman" w:hAnsi="Times New Roman"/>
          <w:sz w:val="20"/>
        </w:rPr>
        <w:t xml:space="preserve"> that such restrictions apply only to such Receivables Subsidiary; </w:t>
      </w:r>
    </w:p>
    <w:p>
      <w:pPr>
        <w:pStyle w:val="TextBody"/>
        <w:bidi w:val="0"/>
        <w:spacing w:before="120" w:after="0"/>
        <w:jc w:val="left"/>
        <w:rPr>
          <w:rFonts w:ascii="Times New Roman" w:hAnsi="Times New Roman"/>
          <w:sz w:val="20"/>
        </w:rPr>
      </w:pPr>
      <w:r>
        <w:rPr>
          <w:rFonts w:ascii="Times New Roman" w:hAnsi="Times New Roman"/>
          <w:sz w:val="20"/>
        </w:rPr>
        <w:t xml:space="preserve">(11) in bona fide contracts for the sale of any property or assets; </w:t>
      </w:r>
    </w:p>
    <w:p>
      <w:pPr>
        <w:pStyle w:val="TextBody"/>
        <w:bidi w:val="0"/>
        <w:spacing w:before="120" w:after="0"/>
        <w:jc w:val="left"/>
        <w:rPr>
          <w:rFonts w:ascii="Times New Roman" w:hAnsi="Times New Roman"/>
          <w:sz w:val="20"/>
        </w:rPr>
      </w:pPr>
      <w:r>
        <w:rPr>
          <w:rFonts w:ascii="Times New Roman" w:hAnsi="Times New Roman"/>
          <w:sz w:val="20"/>
        </w:rPr>
        <w:t xml:space="preserve">(12) any encumbrance or restriction contained in the terms of any Debt or Capital Stock otherwise permitted to be Incurred under this Indenture if the Issuer determines that any such encumbrance or restriction either (i) will not materially affect the Issuer’s ability to make principal or interest payments on the Notes and such restrictions are not materially less favorable to Holders of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than is customary in comparable financings or (ii) are not materially more restrictive, taken as a whole, with respect to any Restricted Subsidiary than those in effect on the Issue Date with respect to that Restricted Subsidiary pursuant to agreements in effect on the Issue Date or those contained in this Indenture, the New ABL Credit Agreement or the Existing Indentures, in each case as determined in good faith by the Board of Directors or an Officer of the Issuer; </w:t>
      </w:r>
    </w:p>
    <w:p>
      <w:pPr>
        <w:pStyle w:val="TextBody"/>
        <w:bidi w:val="0"/>
        <w:spacing w:before="120" w:after="0"/>
        <w:jc w:val="left"/>
        <w:rPr>
          <w:rFonts w:ascii="Times New Roman" w:hAnsi="Times New Roman"/>
          <w:sz w:val="20"/>
        </w:rPr>
      </w:pPr>
      <w:r>
        <w:rPr>
          <w:rFonts w:ascii="Times New Roman" w:hAnsi="Times New Roman"/>
          <w:sz w:val="20"/>
        </w:rPr>
        <w:t xml:space="preserve">(13) restrictions applicable to Foreign Subsidiaries; </w:t>
      </w:r>
    </w:p>
    <w:p>
      <w:pPr>
        <w:pStyle w:val="TextBody"/>
        <w:bidi w:val="0"/>
        <w:spacing w:before="120" w:after="0"/>
        <w:jc w:val="left"/>
        <w:rPr>
          <w:rFonts w:ascii="Times New Roman" w:hAnsi="Times New Roman"/>
          <w:sz w:val="20"/>
        </w:rPr>
      </w:pPr>
      <w:r>
        <w:rPr>
          <w:rFonts w:ascii="Times New Roman" w:hAnsi="Times New Roman"/>
          <w:sz w:val="20"/>
        </w:rPr>
        <w:t xml:space="preserve">(14) customary provisions limiting the disposition or distribution of assets or property in joint venture agreements, asset sale agreements, sale-leaseback agreements, stock sale agreements and other similar agreements (including agreements entered into in connection with a Restricted Investment), which limitation is applicable only to the assets that are the subject of such agreements; or </w:t>
      </w:r>
    </w:p>
    <w:p>
      <w:pPr>
        <w:pStyle w:val="TextBody"/>
        <w:bidi w:val="0"/>
        <w:spacing w:before="120" w:after="0"/>
        <w:jc w:val="left"/>
        <w:rPr>
          <w:rFonts w:ascii="Times New Roman" w:hAnsi="Times New Roman"/>
          <w:sz w:val="20"/>
        </w:rPr>
      </w:pPr>
      <w:r>
        <w:rPr>
          <w:rFonts w:ascii="Times New Roman" w:hAnsi="Times New Roman"/>
          <w:sz w:val="20"/>
        </w:rPr>
        <w:t xml:space="preserve">(15) if such encumbrance or restriction is the result of applicable laws or any applicable rule, regulation or order. </w:t>
      </w:r>
    </w:p>
    <w:p>
      <w:pPr>
        <w:pStyle w:val="TextBody"/>
        <w:bidi w:val="0"/>
        <w:spacing w:before="240" w:after="0"/>
        <w:jc w:val="left"/>
        <w:rPr>
          <w:rFonts w:ascii="Times New Roman" w:hAnsi="Times New Roman"/>
          <w:sz w:val="20"/>
        </w:rPr>
      </w:pPr>
      <w:r>
        <w:rPr>
          <w:rFonts w:ascii="Times New Roman" w:hAnsi="Times New Roman"/>
          <w:sz w:val="20"/>
        </w:rPr>
        <w:t xml:space="preserve">SECTION 4.9. </w:t>
      </w:r>
      <w:r>
        <w:rPr>
          <w:rFonts w:ascii="Times New Roman" w:hAnsi="Times New Roman"/>
          <w:sz w:val="20"/>
          <w:u w:val="single"/>
        </w:rPr>
        <w:t>Limitation on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Issuer shall not, and shall not permit any Restricted Subsidiary to, Incur any Debt, except that the Issuer and any Subsidiary Guarantor may Incur Debt if after giving pro forma effect to the Incurrence of such Debt and the receipt and application of the proceeds thereof the Consolidated Fixed Charge Coverage Ratio of the Issuer and its Restricted Subsidiaries would be not less than 2.00 to 1.00. </w:t>
      </w:r>
    </w:p>
    <w:p>
      <w:pPr>
        <w:pStyle w:val="TextBody"/>
        <w:bidi w:val="0"/>
        <w:spacing w:before="120" w:after="0"/>
        <w:jc w:val="left"/>
        <w:rPr>
          <w:rFonts w:ascii="Times New Roman" w:hAnsi="Times New Roman"/>
          <w:sz w:val="20"/>
        </w:rPr>
      </w:pPr>
      <w:r>
        <w:rPr>
          <w:rFonts w:ascii="Times New Roman" w:hAnsi="Times New Roman"/>
          <w:sz w:val="20"/>
        </w:rPr>
        <w:t>(b) Notwithstanding Section 4.9(a), the following Debt may be Incurred (collectively, the “</w:t>
      </w:r>
      <w:r>
        <w:rPr>
          <w:rFonts w:ascii="Times New Roman" w:hAnsi="Times New Roman"/>
          <w:i/>
          <w:sz w:val="20"/>
        </w:rPr>
        <w:t>Permitted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 Debt of the Issuer or any Restricted Subsidiary under one or more Debt Facilities in an aggregate principal amount Incurred under this clause (1) at any one time outstanding not to exceed the sum of (i) $1,500.0 million, plus (ii) the greater of (x) $500.0 million and (y) an amount such that, after giving pro forma effect thereto, the Secured Net Leverage Ratio (treating all Debt Incurred under this clause (1) as secured by Liens on the assets of the Issuer, including all undrawn amounts under the revolving portion of any Debt Facility) of the Issuer and its Restricted Subsidiaries would not exceed 2.50 to 1.00 (</w:t>
      </w:r>
      <w:r>
        <w:rPr>
          <w:rFonts w:ascii="Times New Roman" w:hAnsi="Times New Roman"/>
          <w:sz w:val="20"/>
          <w:u w:val="single"/>
        </w:rPr>
        <w:t>provided</w:t>
      </w:r>
      <w:r>
        <w:rPr>
          <w:rFonts w:ascii="Times New Roman" w:hAnsi="Times New Roman"/>
          <w:sz w:val="20"/>
        </w:rPr>
        <w:t xml:space="preserve"> that, any Debt Incurred pursuant to this clause (ii) may only be Incurred by the Issuer and the Subsidiary Guarantors), plus, in the case of any refinancing of any Debt permitted under this clause (1) or any portion thereof, any increase in the amount of such Debt in connection with any refinancing expenses, accrued and unpaid interest, premiums and other costs and expenses Incurred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(2) Debt of the Issuer or any Restricted Subsidiary outstanding on the Issue Date and not otherwise referred to in clause (1) of this Section 4.9(b);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Debt owed by the Issuer to any Restricted Subsidiary or Debt owed by a Restricted Subsidiary to the Issuer or a Restricted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any such Debt owing by the Issuer or a Subsidiary Guarantor to a Restricted Subsidiary that is not a Subsidiary Guarantor shall be expressly subordinated in right of payment to the Notes, other than the Incurrence and refinancing of Debt owed by the Issuer or a Subsidiary Guarantor to a Restricted Subsidiary for the purpose of the repatriation of cash to the United States; and </w:t>
      </w:r>
    </w:p>
    <w:p>
      <w:pPr>
        <w:pStyle w:val="TextBody"/>
        <w:bidi w:val="0"/>
        <w:spacing w:before="120" w:after="0"/>
        <w:jc w:val="left"/>
        <w:rPr>
          <w:rFonts w:ascii="Times New Roman" w:hAnsi="Times New Roman"/>
          <w:sz w:val="20"/>
        </w:rPr>
      </w:pPr>
      <w:r>
        <w:rPr>
          <w:rFonts w:ascii="Times New Roman" w:hAnsi="Times New Roman"/>
          <w:sz w:val="20"/>
        </w:rPr>
        <w:t xml:space="preserve">(B) upon either the transfer or other disposition by such Restricted Subsidiary or the Issuer of any Debt so permitted to a Person other than the Issuer or another Restricted Subsidiary or the issuance (other than directors’ qualifying shares), sale, lease, transfer or other disposition of shares of Capital Stock (including by consolidation or merger) of such Restricted Subsidiary to a Person other than the Issuer or another Restricted Subsidiary such that it ceases to be a Restricted Subsidiary, the provisions of this clause (3) shall no longer be applicable to such Debt, and such Debt shall be deemed to have been Incurred at the time of such transfer or other disposition; </w:t>
      </w:r>
    </w:p>
    <w:p>
      <w:pPr>
        <w:pStyle w:val="TextBody"/>
        <w:bidi w:val="0"/>
        <w:spacing w:before="120" w:after="0"/>
        <w:jc w:val="left"/>
        <w:rPr>
          <w:rFonts w:ascii="Times New Roman" w:hAnsi="Times New Roman"/>
          <w:sz w:val="20"/>
        </w:rPr>
      </w:pPr>
      <w:r>
        <w:rPr>
          <w:rFonts w:ascii="Times New Roman" w:hAnsi="Times New Roman"/>
          <w:sz w:val="20"/>
        </w:rPr>
        <w:t xml:space="preserve">(4) Debt consisting of the Notes (other than any Additional Notes); </w:t>
      </w:r>
    </w:p>
    <w:p>
      <w:pPr>
        <w:pStyle w:val="TextBody"/>
        <w:bidi w:val="0"/>
        <w:spacing w:before="120" w:after="0"/>
        <w:jc w:val="left"/>
        <w:rPr>
          <w:rFonts w:ascii="Times New Roman" w:hAnsi="Times New Roman"/>
          <w:sz w:val="20"/>
        </w:rPr>
      </w:pPr>
      <w:r>
        <w:rPr>
          <w:rFonts w:ascii="Times New Roman" w:hAnsi="Times New Roman"/>
          <w:sz w:val="20"/>
        </w:rPr>
        <w:t xml:space="preserve">(5) the Subsidiary Guarantees and Guarantees by the Issuer or any Restricted Subsidiary of any Debt of the Issuer or a Restricted Subsidiary permitted to be Incurred under this Indenture; </w:t>
      </w:r>
      <w:r>
        <w:rPr>
          <w:rFonts w:ascii="Times New Roman" w:hAnsi="Times New Roman"/>
          <w:sz w:val="20"/>
          <w:u w:val="single"/>
        </w:rPr>
        <w:t>provided</w:t>
      </w:r>
      <w:r>
        <w:rPr>
          <w:rFonts w:ascii="Times New Roman" w:hAnsi="Times New Roman"/>
          <w:sz w:val="20"/>
        </w:rPr>
        <w:t xml:space="preserve"> that this clause (5) shall not permit Guarantees by a Restricted Subsidiary that is not a Subsidiary Guarantor of Debt that is permitted to be Incurred only by the Issuer or a Subsidiary Guarantor pursuant to this Section 4.9; </w:t>
      </w:r>
    </w:p>
    <w:p>
      <w:pPr>
        <w:pStyle w:val="TextBody"/>
        <w:bidi w:val="0"/>
        <w:spacing w:before="120" w:after="0"/>
        <w:jc w:val="left"/>
        <w:rPr>
          <w:rFonts w:ascii="Times New Roman" w:hAnsi="Times New Roman"/>
          <w:sz w:val="20"/>
        </w:rPr>
      </w:pPr>
      <w:r>
        <w:rPr>
          <w:rFonts w:ascii="Times New Roman" w:hAnsi="Times New Roman"/>
          <w:sz w:val="20"/>
        </w:rPr>
        <w:t xml:space="preserve">(6) Debt of the Issuer or any of its Restricted Subsidiaries represented by Finance Lease Obligations or purchase money obligations, in each case, Incurred for the purpose of financing all or any part of the purchase price or cost of acquisition, construction, repair or improvement of property, plant or equipment used in the business of the Issuer or such Restricted Subsidiary, in an aggregate principal amount, including all Debt Incurred to refund or refinance any Debt Incurred pursuant to this clause (6), not to exceed, at any one time outstanding, 5.0% of Consolidated Total Assets determined at the time of Incurrence, whether such Incurrence of Debt is prior to or following such acquisition, construction, repair or improvement; </w:t>
      </w:r>
    </w:p>
    <w:p>
      <w:pPr>
        <w:pStyle w:val="TextBody"/>
        <w:bidi w:val="0"/>
        <w:spacing w:before="120" w:after="0"/>
        <w:jc w:val="left"/>
        <w:rPr>
          <w:rFonts w:ascii="Times New Roman" w:hAnsi="Times New Roman"/>
          <w:sz w:val="20"/>
        </w:rPr>
      </w:pPr>
      <w:r>
        <w:rPr>
          <w:rFonts w:ascii="Times New Roman" w:hAnsi="Times New Roman"/>
          <w:sz w:val="20"/>
        </w:rPr>
        <w:t xml:space="preserve">(7) to the extent constituting Debt, Debt of the Issuer or any Restricted Subsidiary under Permitted Interest Rate, Currency or Commodity Price Agreements; </w:t>
      </w:r>
    </w:p>
    <w:p>
      <w:pPr>
        <w:pStyle w:val="TextBody"/>
        <w:bidi w:val="0"/>
        <w:spacing w:before="120" w:after="0"/>
        <w:jc w:val="left"/>
        <w:rPr>
          <w:rFonts w:ascii="Times New Roman" w:hAnsi="Times New Roman"/>
          <w:sz w:val="20"/>
        </w:rPr>
      </w:pPr>
      <w:r>
        <w:rPr>
          <w:rFonts w:ascii="Times New Roman" w:hAnsi="Times New Roman"/>
          <w:sz w:val="20"/>
        </w:rPr>
        <w:t xml:space="preserve">(8) Permitted Acquisition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Permitted Refinancing Debt which is exchanged for, or the proceeds of which are used to refinance or refund, or any extension or renewal of Debt Incurred pursuant to Section 4.9(a) or pursuant to clauses (2), (4), (5), (6), (8), (16) or (17) of this Section 4.9(b) and this clause (9); </w:t>
      </w:r>
    </w:p>
    <w:p>
      <w:pPr>
        <w:pStyle w:val="TextBody"/>
        <w:bidi w:val="0"/>
        <w:spacing w:before="120" w:after="0"/>
        <w:jc w:val="left"/>
        <w:rPr>
          <w:rFonts w:ascii="Times New Roman" w:hAnsi="Times New Roman"/>
          <w:sz w:val="20"/>
        </w:rPr>
      </w:pPr>
      <w:r>
        <w:rPr>
          <w:rFonts w:ascii="Times New Roman" w:hAnsi="Times New Roman"/>
          <w:sz w:val="20"/>
        </w:rPr>
        <w:t xml:space="preserve">(10) to the extent constituting Debt, Debt Incurred by the Issuer or any of its Restricted Subsidiaries in Permitted Securitizations; </w:t>
      </w:r>
      <w:r>
        <w:rPr>
          <w:rFonts w:ascii="Times New Roman" w:hAnsi="Times New Roman"/>
          <w:sz w:val="20"/>
          <w:u w:val="single"/>
        </w:rPr>
        <w:t>provided</w:t>
      </w:r>
      <w:r>
        <w:rPr>
          <w:rFonts w:ascii="Times New Roman" w:hAnsi="Times New Roman"/>
          <w:sz w:val="20"/>
        </w:rPr>
        <w:t xml:space="preserve"> that any Debt Incurred after the Issue Date under this clause (10) by Restricted Subsidiaries that are not Subsidiary Guarantors in Permitted Securitizations shall not exceed, at any one time outstanding, an aggregate principal amount of $975.0 million; </w:t>
      </w:r>
    </w:p>
    <w:p>
      <w:pPr>
        <w:pStyle w:val="TextBody"/>
        <w:bidi w:val="0"/>
        <w:spacing w:before="120" w:after="0"/>
        <w:jc w:val="left"/>
        <w:rPr>
          <w:rFonts w:ascii="Times New Roman" w:hAnsi="Times New Roman"/>
          <w:sz w:val="20"/>
        </w:rPr>
      </w:pPr>
      <w:r>
        <w:rPr>
          <w:rFonts w:ascii="Times New Roman" w:hAnsi="Times New Roman"/>
          <w:sz w:val="20"/>
        </w:rPr>
        <w:t xml:space="preserve">(11) Obligations arising from agreements by the Issuer or a Restricted Subsidiary to provide for indemnification, customary purchase price closing adjustments, earn-outs, deferred compensation or other similar obligations, in each case, Incurred in connection with the acquisition or disposition of any business or assets; </w:t>
      </w:r>
    </w:p>
    <w:p>
      <w:pPr>
        <w:pStyle w:val="TextBody"/>
        <w:bidi w:val="0"/>
        <w:spacing w:before="120" w:after="0"/>
        <w:jc w:val="left"/>
        <w:rPr>
          <w:rFonts w:ascii="Times New Roman" w:hAnsi="Times New Roman"/>
          <w:sz w:val="20"/>
        </w:rPr>
      </w:pPr>
      <w:r>
        <w:rPr>
          <w:rFonts w:ascii="Times New Roman" w:hAnsi="Times New Roman"/>
          <w:sz w:val="20"/>
        </w:rPr>
        <w:t xml:space="preserve">(12) Debt Incurred by the Issuer or its Restricted Subsidiaries in respect of workers’ compensation claims, health, disability or other employee benefits or property, casualty or liability insurance, self-insurance obligations, take-or-pay obligations contained in supply arrangements, letters of credit, bank guarantees, bankers’ acceptances, performance, bid, surety and similar bonds and completion Guarantees (not for borrowed money) provided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(13) to the extent constituting Debt, Debt of the Issuer or any of its Restricted Subsidiaries under Permitted Cash Management Services Agreements; </w:t>
      </w:r>
    </w:p>
    <w:p>
      <w:pPr>
        <w:pStyle w:val="TextBody"/>
        <w:bidi w:val="0"/>
        <w:spacing w:before="120" w:after="0"/>
        <w:jc w:val="left"/>
        <w:rPr>
          <w:rFonts w:ascii="Times New Roman" w:hAnsi="Times New Roman"/>
          <w:sz w:val="20"/>
        </w:rPr>
      </w:pPr>
      <w:r>
        <w:rPr>
          <w:rFonts w:ascii="Times New Roman" w:hAnsi="Times New Roman"/>
          <w:sz w:val="20"/>
        </w:rPr>
        <w:t xml:space="preserve">(14) Debt representing deferred compensation to employees of the Issuer or any Restricted Subsidiaries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(15) Contribution Indebtedness; </w:t>
      </w:r>
    </w:p>
    <w:p>
      <w:pPr>
        <w:pStyle w:val="TextBody"/>
        <w:bidi w:val="0"/>
        <w:spacing w:before="120" w:after="0"/>
        <w:jc w:val="left"/>
        <w:rPr>
          <w:rFonts w:ascii="Times New Roman" w:hAnsi="Times New Roman"/>
          <w:sz w:val="20"/>
        </w:rPr>
      </w:pPr>
      <w:r>
        <w:rPr>
          <w:rFonts w:ascii="Times New Roman" w:hAnsi="Times New Roman"/>
          <w:sz w:val="20"/>
        </w:rPr>
        <w:t xml:space="preserve">(16) Debt Incurred by the Issuer or the Subsidiary Guarantors for the benefit of joint ventures, and including any renewals, extensions, substitutions, refinancings or replacements of such Debt, in an aggregate principal amount not to exceed, at any one time outstanding, the greater of (x) $300.0 million and (y) 2.5% of Consolidated Total Assets determined at the time of Incurrence; and </w:t>
      </w:r>
    </w:p>
    <w:p>
      <w:pPr>
        <w:pStyle w:val="TextBody"/>
        <w:bidi w:val="0"/>
        <w:spacing w:before="120" w:after="0"/>
        <w:jc w:val="left"/>
        <w:rPr>
          <w:rFonts w:ascii="Times New Roman" w:hAnsi="Times New Roman"/>
          <w:sz w:val="20"/>
        </w:rPr>
      </w:pPr>
      <w:r>
        <w:rPr>
          <w:rFonts w:ascii="Times New Roman" w:hAnsi="Times New Roman"/>
          <w:sz w:val="20"/>
        </w:rPr>
        <w:t xml:space="preserve">(17) in addition to the items referred to in clauses (1) through (16) of this Section 4.9(b), Debt of the Issuer or any Restricted Subsidiary which, together with any other outstanding Debt Incurred pursuant to this clause (17), and including any renewals, extensions, substitutions, refinancings or replacements of such Debt, has an aggregate principal amount at any one time outstanding not to exceed the greater of (x) $1,200.0 million and (y) 10.0% of Consolidated Total Assets determined at the time of Incurrence.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For purposes of determining compliance with, and the outstanding principal amount of any particular Debt Incurred pursuant to, and in compliance with, this Section 4.9: </w:t>
      </w:r>
    </w:p>
    <w:p>
      <w:pPr>
        <w:pStyle w:val="TextBody"/>
        <w:bidi w:val="0"/>
        <w:spacing w:before="120" w:after="0"/>
        <w:jc w:val="left"/>
        <w:rPr>
          <w:rFonts w:ascii="Times New Roman" w:hAnsi="Times New Roman"/>
          <w:sz w:val="20"/>
        </w:rPr>
      </w:pPr>
      <w:r>
        <w:rPr>
          <w:rFonts w:ascii="Times New Roman" w:hAnsi="Times New Roman"/>
          <w:sz w:val="20"/>
        </w:rPr>
        <w:t xml:space="preserve">(1) in the event that Debt meets the criteria of more than one of the types of Debt described in Section 4.9(a) and Section 4.9(b), the Issuer, in its sole discretion, may classify such item of Debt on the date of Incurrence (or later classify or reclassify such Debt, in its sole discretion) in any manner permitted by this Section 4.9 and shall only be required to include the amount and type of such Debt in one of such clauses; </w:t>
      </w:r>
      <w:r>
        <w:rPr>
          <w:rFonts w:ascii="Times New Roman" w:hAnsi="Times New Roman"/>
          <w:sz w:val="20"/>
          <w:u w:val="single"/>
        </w:rPr>
        <w:t>provided</w:t>
      </w:r>
      <w:r>
        <w:rPr>
          <w:rFonts w:ascii="Times New Roman" w:hAnsi="Times New Roman"/>
          <w:sz w:val="20"/>
        </w:rPr>
        <w:t xml:space="preserve"> that (x) all Debt outstanding on the Issue Date under the New ABL Credit Facility or Incurred pursuant to the commitments thereunder in effect on the Issue Date shall be deemed Incurred under clause (1)(i) of Section 4.9(b) and may not later be reclassified, (y) all Debt outstanding on the Issue Date under the Existing Indentures shall be deemed Incurred under Section 4.9(b)(2) and may not later be reclassified, and (z) for the avoidance of doubt, Debt Incurred by a Restricted Subsidiary that is not a Subsidiary Guarantor may not be classified or reclassified under any clause of Section 4.9(a) or 4.9(b) that is available only for Incurrence by the Issuer or a Subsidiary Guarantor; </w:t>
      </w:r>
    </w:p>
    <w:p>
      <w:pPr>
        <w:pStyle w:val="TextBody"/>
        <w:bidi w:val="0"/>
        <w:spacing w:before="120" w:after="0"/>
        <w:jc w:val="left"/>
        <w:rPr>
          <w:rFonts w:ascii="Times New Roman" w:hAnsi="Times New Roman"/>
          <w:sz w:val="20"/>
        </w:rPr>
      </w:pPr>
      <w:r>
        <w:rPr>
          <w:rFonts w:ascii="Times New Roman" w:hAnsi="Times New Roman"/>
          <w:sz w:val="20"/>
        </w:rPr>
        <w:t xml:space="preserve">(2) Guarantees of, or obligations in respect of letters of credit relating to, Debt which is otherwise included in the determination of a particular amount of Debt shall not be included; </w:t>
      </w:r>
    </w:p>
    <w:p>
      <w:pPr>
        <w:pStyle w:val="TextBody"/>
        <w:bidi w:val="0"/>
        <w:spacing w:before="120" w:after="0"/>
        <w:jc w:val="left"/>
        <w:rPr>
          <w:rFonts w:ascii="Times New Roman" w:hAnsi="Times New Roman"/>
          <w:sz w:val="20"/>
        </w:rPr>
      </w:pPr>
      <w:r>
        <w:rPr>
          <w:rFonts w:ascii="Times New Roman" w:hAnsi="Times New Roman"/>
          <w:sz w:val="20"/>
        </w:rPr>
        <w:t xml:space="preserve">(3) the principal amount of any Redeemable Stock of the Issuer or a Restricted Subsidiary or of any Preferred Stock of a Restricted Subsidiary that is not a Subsidiary Guarantor will be equal to the greater of the maximum redemption or repurchase price (not including, in either case, any redemption or repurchase premium) or the liquidation preference thereof; </w:t>
      </w:r>
    </w:p>
    <w:p>
      <w:pPr>
        <w:pStyle w:val="TextBody"/>
        <w:bidi w:val="0"/>
        <w:spacing w:before="120" w:after="0"/>
        <w:jc w:val="left"/>
        <w:rPr>
          <w:rFonts w:ascii="Times New Roman" w:hAnsi="Times New Roman"/>
          <w:sz w:val="20"/>
        </w:rPr>
      </w:pPr>
      <w:r>
        <w:rPr>
          <w:rFonts w:ascii="Times New Roman" w:hAnsi="Times New Roman"/>
          <w:sz w:val="20"/>
        </w:rPr>
        <w:t xml:space="preserve">(4) Debt permitted by this Section 4.9 need not be permitted solely by reference to one provision permitting such Debt but may be permitted in part by one such provision and in part by one or more other provisions of Section 4.9 permitting such Debt; </w:t>
      </w:r>
    </w:p>
    <w:p>
      <w:pPr>
        <w:pStyle w:val="TextBody"/>
        <w:bidi w:val="0"/>
        <w:spacing w:before="120" w:after="0"/>
        <w:jc w:val="left"/>
        <w:rPr>
          <w:rFonts w:ascii="Times New Roman" w:hAnsi="Times New Roman"/>
          <w:sz w:val="20"/>
        </w:rPr>
      </w:pPr>
      <w:r>
        <w:rPr>
          <w:rFonts w:ascii="Times New Roman" w:hAnsi="Times New Roman"/>
          <w:sz w:val="20"/>
        </w:rPr>
        <w:t xml:space="preserve">(5) any Receivables Sale shall be the amount for which there is recourse to the seller; and </w:t>
      </w:r>
    </w:p>
    <w:p>
      <w:pPr>
        <w:pStyle w:val="TextBody"/>
        <w:bidi w:val="0"/>
        <w:spacing w:before="120" w:after="0"/>
        <w:jc w:val="left"/>
        <w:rPr>
          <w:rFonts w:ascii="Times New Roman" w:hAnsi="Times New Roman"/>
          <w:sz w:val="20"/>
        </w:rPr>
      </w:pPr>
      <w:r>
        <w:rPr>
          <w:rFonts w:ascii="Times New Roman" w:hAnsi="Times New Roman"/>
          <w:sz w:val="20"/>
        </w:rPr>
        <w:t xml:space="preserve">(6) the amount of Debt issued at a price that is less than the principal amount thereof will be equal to the amount of the liability in respect thereof determined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(d) Accrual of interest, accrual of dividends, the accretion of accreted value, the payment of interest in the form of additional Debt and the payment of dividends in the form of additional shares of Preferred Stock or Redeemable Stock will not be deemed to be an Incurrence of Debt for purposes of this Section 4.9.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For purposes of determining compliance with any U.S. dollar-denominated restriction on the Incurrence of Debt, the U.S. dollar-equivalent principal amount of Debt denominated in a foreign currency shall be calculated based on the relevant currency exchange rate in effect on the date such Debt was Incurred, in the case of term Debt, or first committed, in the case of revolving credit Debt; </w:t>
      </w:r>
      <w:r>
        <w:rPr>
          <w:rFonts w:ascii="Times New Roman" w:hAnsi="Times New Roman"/>
          <w:sz w:val="20"/>
          <w:u w:val="single"/>
        </w:rPr>
        <w:t>provided</w:t>
      </w:r>
      <w:r>
        <w:rPr>
          <w:rFonts w:ascii="Times New Roman" w:hAnsi="Times New Roman"/>
          <w:sz w:val="20"/>
        </w:rPr>
        <w:t xml:space="preserve"> that if such Debt is Incurred to refinance other Debt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Debt does not exceed the principal amount of such Debt being refinanced. Notwithstanding any other provision of this Section 4.9, the maximum amount of Debt that the Issuer and its Restricted Subsidiaries may Incur pursuant to this Section 4.9 shall not be deemed to be exceeded solely as a result of fluctuations in the exchange rate of currencies.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sz w:val="20"/>
          <w:u w:val="single"/>
        </w:rPr>
        <w:t>Limitation on Asset Dispositions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Issuer shall not, and shall not permit any Restricted Subsidiary to, make any Asset Disposition unless: </w:t>
      </w:r>
    </w:p>
    <w:p>
      <w:pPr>
        <w:pStyle w:val="TextBody"/>
        <w:bidi w:val="0"/>
        <w:spacing w:before="120" w:after="0"/>
        <w:jc w:val="left"/>
        <w:rPr>
          <w:rFonts w:ascii="Times New Roman" w:hAnsi="Times New Roman"/>
          <w:sz w:val="20"/>
        </w:rPr>
      </w:pPr>
      <w:r>
        <w:rPr>
          <w:rFonts w:ascii="Times New Roman" w:hAnsi="Times New Roman"/>
          <w:sz w:val="20"/>
        </w:rPr>
        <w:t xml:space="preserve">(1) the Issuer or such Restricted Subsidiary, as the case may be, receives consideration for such Asset Disposition at least equal to the Fair Market Value (measured as of the date of the definitive agreement with respect to such Asset Disposition) for the assets or Capital Stock sold or disposed of; and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an Asset Disposition or series of related Asset Dispositions having a Fair Market Value of at least the greater of (x) $90.0 million and (y) 0.75% of Consolidated Total Assets, at least 75% of the consideration for such Asset Disposition or series of related Asset Dispositions and all other Asset Dispositions consummated since the Issue Date consists of: </w:t>
      </w:r>
    </w:p>
    <w:p>
      <w:pPr>
        <w:pStyle w:val="TextBody"/>
        <w:bidi w:val="0"/>
        <w:spacing w:before="120" w:after="0"/>
        <w:jc w:val="left"/>
        <w:rPr>
          <w:rFonts w:ascii="Times New Roman" w:hAnsi="Times New Roman"/>
          <w:sz w:val="20"/>
        </w:rPr>
      </w:pPr>
      <w:r>
        <w:rPr>
          <w:rFonts w:ascii="Times New Roman" w:hAnsi="Times New Roman"/>
          <w:sz w:val="20"/>
        </w:rPr>
        <w:t xml:space="preserve">(i) cash or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(ii) marketable securities to the extent sold for cash within 30 days; </w:t>
      </w:r>
    </w:p>
    <w:p>
      <w:pPr>
        <w:pStyle w:val="TextBody"/>
        <w:bidi w:val="0"/>
        <w:spacing w:before="120" w:after="0"/>
        <w:jc w:val="left"/>
        <w:rPr>
          <w:rFonts w:ascii="Times New Roman" w:hAnsi="Times New Roman"/>
          <w:sz w:val="20"/>
        </w:rPr>
      </w:pPr>
      <w:r>
        <w:rPr>
          <w:rFonts w:ascii="Times New Roman" w:hAnsi="Times New Roman"/>
          <w:sz w:val="20"/>
        </w:rPr>
        <w:t xml:space="preserve">(iii) the assumption of Debt or other liabilities (other than contingent liabilities) of the Issuer, or such Restricted Subsidiary (other than Debt or liabilities that are subordinated to the Notes or such Restricted Subsidiary’s Subsidiary Guarantee) relating to such assets and release from all liability on the Debt or liabilities assumed; </w:t>
      </w:r>
    </w:p>
    <w:p>
      <w:pPr>
        <w:pStyle w:val="TextBody"/>
        <w:bidi w:val="0"/>
        <w:spacing w:before="120" w:after="0"/>
        <w:jc w:val="left"/>
        <w:rPr>
          <w:rFonts w:ascii="Times New Roman" w:hAnsi="Times New Roman"/>
          <w:sz w:val="20"/>
        </w:rPr>
      </w:pPr>
      <w:r>
        <w:rPr>
          <w:rFonts w:ascii="Times New Roman" w:hAnsi="Times New Roman"/>
          <w:sz w:val="20"/>
        </w:rPr>
        <w:t xml:space="preserve">(iv) Replacement Assets; </w:t>
      </w:r>
    </w:p>
    <w:p>
      <w:pPr>
        <w:pStyle w:val="TextBody"/>
        <w:bidi w:val="0"/>
        <w:spacing w:before="120" w:after="0"/>
        <w:jc w:val="left"/>
        <w:rPr>
          <w:rFonts w:ascii="Times New Roman" w:hAnsi="Times New Roman"/>
          <w:sz w:val="20"/>
        </w:rPr>
      </w:pPr>
      <w:r>
        <w:rPr>
          <w:rFonts w:ascii="Times New Roman" w:hAnsi="Times New Roman"/>
          <w:sz w:val="20"/>
        </w:rPr>
        <w:t xml:space="preserve">(v) Designated Non-cash Consideration; or </w:t>
      </w:r>
    </w:p>
    <w:p>
      <w:pPr>
        <w:pStyle w:val="TextBody"/>
        <w:bidi w:val="0"/>
        <w:spacing w:before="120" w:after="0"/>
        <w:jc w:val="left"/>
        <w:rPr>
          <w:rFonts w:ascii="Times New Roman" w:hAnsi="Times New Roman"/>
          <w:sz w:val="20"/>
        </w:rPr>
      </w:pPr>
      <w:r>
        <w:rPr>
          <w:rFonts w:ascii="Times New Roman" w:hAnsi="Times New Roman"/>
          <w:sz w:val="20"/>
        </w:rPr>
        <w:t xml:space="preserve">(vi) any combination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the amount of any consideration received by the Issuer or such Restricted Subsidiary that is converted into cash within 180 days of the closing of such Asset Disposition shall be deemed to be cash for purposes of this Section 4.10(a) (to the extent of the cash received). The foregoing clauses (1) or (2) of this Section 4.10(a) shall not apply with respect to any condemnation, event of loss or other involuntary Asset Disposition. </w:t>
      </w:r>
    </w:p>
    <w:p>
      <w:pPr>
        <w:pStyle w:val="TextBody"/>
        <w:bidi w:val="0"/>
        <w:spacing w:before="120" w:after="0"/>
        <w:jc w:val="left"/>
        <w:rPr>
          <w:rFonts w:ascii="Times New Roman" w:hAnsi="Times New Roman"/>
          <w:sz w:val="20"/>
        </w:rPr>
      </w:pPr>
      <w:r>
        <w:rPr>
          <w:rFonts w:ascii="Times New Roman" w:hAnsi="Times New Roman"/>
          <w:sz w:val="20"/>
        </w:rPr>
        <w:t xml:space="preserve">(b) Within 365 days after the receipt of any Net Available Proceeds from an Asset Disposition, the Issuer (or the applicable Restricted Subsidiary, as the case may be), may apply such Net Available Proceeds at its option, in any combination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to repay, repurchase or otherwise retire (i) any Debt of the Issuer or any Subsidiary Guarantor that is not Subordinated Debt or (ii) any Debt of any Restricted Subsidiary of the Issuer that is not a Subsidiary Guarantor, in each case, other than Debt owed to the Issuer or an Affiliate of the Issuer; </w:t>
      </w:r>
    </w:p>
    <w:p>
      <w:pPr>
        <w:pStyle w:val="TextBody"/>
        <w:bidi w:val="0"/>
        <w:spacing w:before="120" w:after="0"/>
        <w:jc w:val="left"/>
        <w:rPr>
          <w:rFonts w:ascii="Times New Roman" w:hAnsi="Times New Roman"/>
          <w:sz w:val="20"/>
        </w:rPr>
      </w:pPr>
      <w:r>
        <w:rPr>
          <w:rFonts w:ascii="Times New Roman" w:hAnsi="Times New Roman"/>
          <w:sz w:val="20"/>
        </w:rPr>
        <w:t xml:space="preserve">(2) to acquire Replacement Assets or make capital expenditures; </w:t>
      </w:r>
      <w:r>
        <w:rPr>
          <w:rFonts w:ascii="Times New Roman" w:hAnsi="Times New Roman"/>
          <w:sz w:val="20"/>
          <w:u w:val="single"/>
        </w:rPr>
        <w:t>provided</w:t>
      </w:r>
      <w:r>
        <w:rPr>
          <w:rFonts w:ascii="Times New Roman" w:hAnsi="Times New Roman"/>
          <w:sz w:val="20"/>
        </w:rPr>
        <w:t xml:space="preserve"> that the Issuer or such Restricted Subsidiary will be deemed to have complied with its obligations under this Section 4.10(b) if it enters into a binding commitment to acquire Replacement Assets prior to 365 days after the receipt of the applicable Net Available Proceeds and such acquisition of Replacement Assets is consummated prior to 545 days after the date of receipt of the applicable Net Available Proceeds;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upon any abandonment or termination of such commitment, the Net Available Proceeds not so applied shall constitute Excess Proceeds and be applied as set forth in Section 4.10(c); or </w:t>
      </w:r>
    </w:p>
    <w:p>
      <w:pPr>
        <w:pStyle w:val="TextBody"/>
        <w:bidi w:val="0"/>
        <w:spacing w:before="120" w:after="0"/>
        <w:jc w:val="left"/>
        <w:rPr>
          <w:rFonts w:ascii="Times New Roman" w:hAnsi="Times New Roman"/>
          <w:sz w:val="20"/>
        </w:rPr>
      </w:pPr>
      <w:r>
        <w:rPr>
          <w:rFonts w:ascii="Times New Roman" w:hAnsi="Times New Roman"/>
          <w:sz w:val="20"/>
        </w:rPr>
        <w:t xml:space="preserve">(3) any combination of the foregoing. </w:t>
      </w:r>
    </w:p>
    <w:p>
      <w:pPr>
        <w:pStyle w:val="TextBody"/>
        <w:bidi w:val="0"/>
        <w:spacing w:before="120" w:after="0"/>
        <w:jc w:val="left"/>
        <w:rPr>
          <w:rFonts w:ascii="Times New Roman" w:hAnsi="Times New Roman"/>
          <w:sz w:val="20"/>
        </w:rPr>
      </w:pPr>
      <w:r>
        <w:rPr>
          <w:rFonts w:ascii="Times New Roman" w:hAnsi="Times New Roman"/>
          <w:sz w:val="20"/>
        </w:rPr>
        <w:t>(c) Any Net Available Proceeds that are not applied or invested as provided in Section 4.10(b) will constitute “</w:t>
      </w:r>
      <w:r>
        <w:rPr>
          <w:rFonts w:ascii="Times New Roman" w:hAnsi="Times New Roman"/>
          <w:i/>
          <w:sz w:val="20"/>
        </w:rPr>
        <w:t>Excess Proceeds</w:t>
      </w:r>
      <w:r>
        <w:rPr>
          <w:rFonts w:ascii="Times New Roman" w:hAnsi="Times New Roman"/>
          <w:sz w:val="20"/>
        </w:rPr>
        <w:t xml:space="preserve">.” When the aggregate amount of Excess Proceeds exceeds $100.0 million, or earlier, at the Issuer’s election, the Issuer will apply the Excess Proceeds to the repayment of the Notes and any other Pari Passu Debt outstanding with similar provisions requiring the Issuer to make an offer to purchase such Debt with the proceeds from any Asset Disposition as follows: </w:t>
      </w:r>
    </w:p>
    <w:p>
      <w:pPr>
        <w:pStyle w:val="TextBody"/>
        <w:bidi w:val="0"/>
        <w:spacing w:before="120" w:after="0"/>
        <w:jc w:val="left"/>
        <w:rPr>
          <w:rFonts w:ascii="Times New Roman" w:hAnsi="Times New Roman"/>
          <w:sz w:val="20"/>
        </w:rPr>
      </w:pPr>
      <w:r>
        <w:rPr>
          <w:rFonts w:ascii="Times New Roman" w:hAnsi="Times New Roman"/>
          <w:sz w:val="20"/>
        </w:rPr>
        <w:t>(1) the Issuer will make an offer to purchase from all Holders of the Notes in accordance with the procedures set forth in this Indenture in the maximum principal amount (expressed in amounts of $2,000 or integral multiples of $1,000 in excess thereof) of Notes that may be purchased out of an amount (the “</w:t>
      </w:r>
      <w:r>
        <w:rPr>
          <w:rFonts w:ascii="Times New Roman" w:hAnsi="Times New Roman"/>
          <w:i/>
          <w:sz w:val="20"/>
        </w:rPr>
        <w:t>Note Amount</w:t>
      </w:r>
      <w:r>
        <w:rPr>
          <w:rFonts w:ascii="Times New Roman" w:hAnsi="Times New Roman"/>
          <w:sz w:val="20"/>
        </w:rPr>
        <w:t xml:space="preserve">”) equal to the product of such Excess Proceeds multiplied by a fraction, the numerator of which is the outstanding principal amount of the Notes, and the denominator of which is the sum of the outstanding principal amount of the Notes and such Pari Passu Debt (subject to proration in the event such amount is less than the aggregate Offered Price for all Notes tendered); and </w:t>
      </w:r>
    </w:p>
    <w:p>
      <w:pPr>
        <w:pStyle w:val="TextBody"/>
        <w:bidi w:val="0"/>
        <w:spacing w:before="120" w:after="0"/>
        <w:jc w:val="left"/>
        <w:rPr>
          <w:rFonts w:ascii="Times New Roman" w:hAnsi="Times New Roman"/>
          <w:sz w:val="20"/>
        </w:rPr>
      </w:pPr>
      <w:r>
        <w:rPr>
          <w:rFonts w:ascii="Times New Roman" w:hAnsi="Times New Roman"/>
          <w:sz w:val="20"/>
        </w:rPr>
        <w:t>(2) to the extent required by such Pari Passu Debt, the Issuer will make an offer to purchase or otherwise repurchase or redeem Pari Passu Debt (a “</w:t>
      </w:r>
      <w:r>
        <w:rPr>
          <w:rFonts w:ascii="Times New Roman" w:hAnsi="Times New Roman"/>
          <w:i/>
          <w:sz w:val="20"/>
        </w:rPr>
        <w:t>Pari Passu Offer</w:t>
      </w:r>
      <w:r>
        <w:rPr>
          <w:rFonts w:ascii="Times New Roman" w:hAnsi="Times New Roman"/>
          <w:sz w:val="20"/>
        </w:rPr>
        <w:t>”) in an amount (the “</w:t>
      </w:r>
      <w:r>
        <w:rPr>
          <w:rFonts w:ascii="Times New Roman" w:hAnsi="Times New Roman"/>
          <w:i/>
          <w:sz w:val="20"/>
        </w:rPr>
        <w:t>Pari Passu Debt Amount</w:t>
      </w:r>
      <w:r>
        <w:rPr>
          <w:rFonts w:ascii="Times New Roman" w:hAnsi="Times New Roman"/>
          <w:sz w:val="20"/>
        </w:rPr>
        <w:t xml:space="preserve">”) equal to the excess of the Excess Proceeds over the Note Amount. However, in no event will the Issuer be required to make a Pari Passu Offer in a Pari Passu Debt Amount exceeding the principal amount of such Pari Passu Debt plus the amount of any premium required to be paid to repurchase such Pari Passu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offer price for the Notes will be payable in cash in an amount equal to 100% of the principal amount of the Notes plus accrued and unpaid interest, if any, to, but not including, the date such offer to purchase is consummated (the “</w:t>
      </w:r>
      <w:r>
        <w:rPr>
          <w:rFonts w:ascii="Times New Roman" w:hAnsi="Times New Roman"/>
          <w:i/>
          <w:sz w:val="20"/>
        </w:rPr>
        <w:t>Offered Price</w:t>
      </w:r>
      <w:r>
        <w:rPr>
          <w:rFonts w:ascii="Times New Roman" w:hAnsi="Times New Roman"/>
          <w:sz w:val="20"/>
        </w:rPr>
        <w:t xml:space="preserve">”), in accordance with the procedures set forth in this Indenture. To the extent that the aggregate Offered Price of the Notes tendered pursuant to the offer to purchase is less than the Note Amount relating to the tendered Notes or the aggregate amount of Pari Passu Debt that is purchased in a Pari Passu Offer is less than the Pari Passu Debt Amount, the Issuer may use any remaining Excess Proceeds for general corporate purposes. If the aggregate principal amount of Notes and Pari Passu Debt surrendered by Holders thereof exceeds the amount of Excess Proceeds, the Trustee shall select the Notes and Pari Passu Debt to be purchased on a pro rata basis; </w:t>
      </w:r>
      <w:r>
        <w:rPr>
          <w:rFonts w:ascii="Times New Roman" w:hAnsi="Times New Roman"/>
          <w:sz w:val="20"/>
          <w:u w:val="single"/>
        </w:rPr>
        <w:t>provided</w:t>
      </w:r>
      <w:r>
        <w:rPr>
          <w:rFonts w:ascii="Times New Roman" w:hAnsi="Times New Roman"/>
          <w:sz w:val="20"/>
        </w:rPr>
        <w:t xml:space="preserve"> that, in the case of Global Notes, beneficial interests in such Notes shall be repurchased on a pro rata basis based on amounts tendered only if such proration is consistent with the procedures of the applicable clearing system; otherwise, such beneficial interests shall be selected for repurchase in accordance with such procedures. Upon the completion of the purchase of all the Notes tendered pursuant to an offer to purchase and the completion of a Pari Passu Offer, the amount of Excess Proceeds, if any, shall be reset at zero. </w:t>
      </w:r>
    </w:p>
    <w:p>
      <w:pPr>
        <w:pStyle w:val="TextBody"/>
        <w:bidi w:val="0"/>
        <w:spacing w:before="120" w:after="0"/>
        <w:jc w:val="left"/>
        <w:rPr>
          <w:rFonts w:ascii="Times New Roman" w:hAnsi="Times New Roman"/>
          <w:sz w:val="20"/>
        </w:rPr>
      </w:pPr>
      <w:r>
        <w:rPr>
          <w:rFonts w:ascii="Times New Roman" w:hAnsi="Times New Roman"/>
          <w:sz w:val="20"/>
        </w:rPr>
        <w:t xml:space="preserve">(d) If the Issuer becomes obligated to make an offer to purchase pursuant to this Section 4.10, the Notes (in amounts of $2,000 and integral multiples of $1,000 in excess thereof), and the Pari Passu Debt shall be purchased by the Issuer, at the option of the Holders thereof, in whole or in part, on a date that is not earlier than 30 days and not later than 60 days from the date the notice of the offer to purchase is given to Holders, or such later date as may be necessary for the Issuer to comply with the requirements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(e) The Issuer shall comply with the applicable tender offer rules, including Rule 14e-1 under the Exchange Act, and any other applicable securities laws or regulations in connection with an offer to purchase. To the extent that the provisions of any securities laws or regulations conflict with this Section 4.10, the Issuer shall comply with the applicable securities laws and regulations and will not be deemed to have breached its obligations under this Section 4.10 by virtue of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sz w:val="20"/>
          <w:u w:val="single"/>
        </w:rPr>
        <w:t>Limitation on Transactions with Affiliates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Issuer shall not, and shall not permit any Restricted Subsidiary to, directly or indirectly, enter into any transaction or series of related transactions having a value in excess of $25.0 million with or for the benefit of an Affiliate of the Issuer or a Restricted Subsidiary, including any Investment, either directly or indirectly, unless such transaction is on terms not materially less favorable to the Issuer or such Restricted Subsidiary (taken as a whole) than those that could reasonably be obtained in a comparable arm’s-length transaction with an entity that is not an Affiliate or is otherwise fair to the Issuer from a financial point of view. For any transaction or series of related transactions involving aggregate value in excess of $50.0 million, such transaction or series of 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transactions is approved by either (x) a majority of the Disinterested Directors of the Board of Directors of the Issuer, if any, or in the event there is only one Disinterested Director, by such Disinterested Director, or (y) the audit committee of the Board of Directors of the Issuer (with any Director on such committee that is not a Disinterested Director recusing himself or herself). For the avoidance of doubt, any intercompany transaction between and among the Issuer and/or any of its Restricted Subsidiaries shall not be deemed a transaction with an Affiliate. </w:t>
      </w:r>
    </w:p>
    <w:p>
      <w:pPr>
        <w:pStyle w:val="TextBody"/>
        <w:bidi w:val="0"/>
        <w:spacing w:before="120" w:after="0"/>
        <w:jc w:val="left"/>
        <w:rPr>
          <w:rFonts w:ascii="Times New Roman" w:hAnsi="Times New Roman"/>
          <w:sz w:val="20"/>
        </w:rPr>
      </w:pPr>
      <w:r>
        <w:rPr>
          <w:rFonts w:ascii="Times New Roman" w:hAnsi="Times New Roman"/>
          <w:sz w:val="20"/>
        </w:rPr>
        <w:t xml:space="preserve">(b) The preceding requirements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(1) any transaction pursuant to agreements in effect on the Issue Date, as these agreements may be amended, modified, supplemented, extended or renewed from time to time, so long as any such amendment, modification, supplement, extension or renewal is not more disadvantageous to the Holders in any material respect in the good faith judgment of the Board of Directors or senior management of the Issuer, when taken as a whole, than the terms of the agreements in effect on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(2) any employment agreement or employee benefit arrangements with any officer or director, including under any stock option or stock incentive plans, entered into by the Issuer or any of its Restricted Subsidiaries in the ordinary course of business of the Issuer or such Restricted Subsidiary or approved by a majority of the disinterested members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(3) (x) transactions between or among the Issuer and/or its Restricted Subsidiaries and (y) any Guarantees issued by the Issuer or a Restricted Subsidiary for the benefit of the Issuer or a Restricted Subsidiary, as the case may be, in accordance with Section 4.9; </w:t>
      </w:r>
    </w:p>
    <w:p>
      <w:pPr>
        <w:pStyle w:val="TextBody"/>
        <w:bidi w:val="0"/>
        <w:spacing w:before="120" w:after="0"/>
        <w:jc w:val="left"/>
        <w:rPr>
          <w:rFonts w:ascii="Times New Roman" w:hAnsi="Times New Roman"/>
          <w:sz w:val="20"/>
        </w:rPr>
      </w:pPr>
      <w:r>
        <w:rPr>
          <w:rFonts w:ascii="Times New Roman" w:hAnsi="Times New Roman"/>
          <w:sz w:val="20"/>
        </w:rPr>
        <w:t xml:space="preserve">(4) any transaction with any Person (x) that is not an Affiliate of the Issuer immediately before the consummation of such transaction that becomes an Affiliate of the Issuer as a result of such transaction or (y) that is an Affiliate of the Issuer solely because the Issuer, directly or indirectly, owns Capital Stock in, or controls, such Person; </w:t>
      </w:r>
    </w:p>
    <w:p>
      <w:pPr>
        <w:pStyle w:val="TextBody"/>
        <w:bidi w:val="0"/>
        <w:spacing w:before="120" w:after="0"/>
        <w:jc w:val="left"/>
        <w:rPr>
          <w:rFonts w:ascii="Times New Roman" w:hAnsi="Times New Roman"/>
          <w:sz w:val="20"/>
        </w:rPr>
      </w:pPr>
      <w:r>
        <w:rPr>
          <w:rFonts w:ascii="Times New Roman" w:hAnsi="Times New Roman"/>
          <w:sz w:val="20"/>
        </w:rPr>
        <w:t xml:space="preserve">(5) transactions with joint ventures entered into in the ordinary course of business; </w:t>
      </w:r>
      <w:r>
        <w:rPr>
          <w:rFonts w:ascii="Times New Roman" w:hAnsi="Times New Roman"/>
          <w:sz w:val="20"/>
          <w:u w:val="single"/>
        </w:rPr>
        <w:t>provided</w:t>
      </w:r>
      <w:r>
        <w:rPr>
          <w:rFonts w:ascii="Times New Roman" w:hAnsi="Times New Roman"/>
          <w:sz w:val="20"/>
        </w:rPr>
        <w:t xml:space="preserve"> that no other Affiliate of the Issuer (other than a Subsidiary thereof) directly or indirectly holds any Capital Stock of such joint venture; </w:t>
      </w:r>
    </w:p>
    <w:p>
      <w:pPr>
        <w:pStyle w:val="TextBody"/>
        <w:bidi w:val="0"/>
        <w:spacing w:before="120" w:after="0"/>
        <w:jc w:val="left"/>
        <w:rPr>
          <w:rFonts w:ascii="Times New Roman" w:hAnsi="Times New Roman"/>
          <w:sz w:val="20"/>
        </w:rPr>
      </w:pPr>
      <w:r>
        <w:rPr>
          <w:rFonts w:ascii="Times New Roman" w:hAnsi="Times New Roman"/>
          <w:sz w:val="20"/>
        </w:rPr>
        <w:t xml:space="preserve">(6) payment of reasonable directors fees to Persons who are not otherwise employees of the Issuer; </w:t>
      </w:r>
    </w:p>
    <w:p>
      <w:pPr>
        <w:pStyle w:val="TextBody"/>
        <w:bidi w:val="0"/>
        <w:spacing w:before="120" w:after="0"/>
        <w:jc w:val="left"/>
        <w:rPr>
          <w:rFonts w:ascii="Times New Roman" w:hAnsi="Times New Roman"/>
          <w:sz w:val="20"/>
        </w:rPr>
      </w:pPr>
      <w:r>
        <w:rPr>
          <w:rFonts w:ascii="Times New Roman" w:hAnsi="Times New Roman"/>
          <w:sz w:val="20"/>
        </w:rPr>
        <w:t xml:space="preserve">(7) indemnities of officers, directors and employees of the Issuer or any Subsidiary of the Issuer pursuant to bylaws, or statutory provisions or indemnification agreements or the purchase of indemnification insurance for any director or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any Restricted Payment or Permitted Investment that is permitted to be made pursuant to Section 4.7; </w:t>
      </w:r>
    </w:p>
    <w:p>
      <w:pPr>
        <w:pStyle w:val="TextBody"/>
        <w:bidi w:val="0"/>
        <w:spacing w:before="120" w:after="0"/>
        <w:jc w:val="left"/>
        <w:rPr>
          <w:rFonts w:ascii="Times New Roman" w:hAnsi="Times New Roman"/>
          <w:sz w:val="20"/>
        </w:rPr>
      </w:pPr>
      <w:r>
        <w:rPr>
          <w:rFonts w:ascii="Times New Roman" w:hAnsi="Times New Roman"/>
          <w:sz w:val="20"/>
        </w:rPr>
        <w:t xml:space="preserve">(9) transactions with customers, clients, suppliers or purchasers or sellers of goods or services, in each case in the ordinary course of the business of the Issuer and its Restricted Subsidiaries and otherwise in compliance with the terms of this Indenture; </w:t>
      </w:r>
      <w:r>
        <w:rPr>
          <w:rFonts w:ascii="Times New Roman" w:hAnsi="Times New Roman"/>
          <w:sz w:val="20"/>
          <w:u w:val="single"/>
        </w:rPr>
        <w:t>provided</w:t>
      </w:r>
      <w:r>
        <w:rPr>
          <w:rFonts w:ascii="Times New Roman" w:hAnsi="Times New Roman"/>
          <w:sz w:val="20"/>
        </w:rPr>
        <w:t xml:space="preserve"> that, as determined in good faith by senior management of the Issuer, such transactions are on terms that are not materially less favorable to the Issuer or the relevant Restricted Subsidiary (taken as a whole) than those that could reasonably have been obtained at the time of such transactions in a comparable transaction by the Issuer or such Restricted Subsidiary with an unrelated Person; </w:t>
      </w:r>
    </w:p>
    <w:p>
      <w:pPr>
        <w:pStyle w:val="TextBody"/>
        <w:bidi w:val="0"/>
        <w:spacing w:before="120" w:after="0"/>
        <w:jc w:val="left"/>
        <w:rPr>
          <w:rFonts w:ascii="Times New Roman" w:hAnsi="Times New Roman"/>
          <w:sz w:val="20"/>
        </w:rPr>
      </w:pPr>
      <w:r>
        <w:rPr>
          <w:rFonts w:ascii="Times New Roman" w:hAnsi="Times New Roman"/>
          <w:sz w:val="20"/>
        </w:rPr>
        <w:t xml:space="preserve">(10) the grant, issuance or sale of Capital Stock (other than Redeemable Stock) to Affiliates of the Issuer and the granting of registration rights and other customary rights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(11) any transaction as to which the Issuer delivers to the Trustee a written opinion of an investment banking firm of national standing or other recognized independent expert with experience in appraising the terms and conditions of the type of transaction or series of related transactions for which an opinion is required stating that the transaction or series of related transactions is fair to the Issuer or such Restricted Subsidiary from a financial point of view or stating that the terms are no less favorable to the Issuer or such Restricted Subsidiary than those that could be obtained in a comparable arm’s-length transaction with an entity that is not an Affiliate; </w:t>
      </w:r>
    </w:p>
    <w:p>
      <w:pPr>
        <w:pStyle w:val="TextBody"/>
        <w:bidi w:val="0"/>
        <w:spacing w:before="120" w:after="0"/>
        <w:jc w:val="left"/>
        <w:rPr>
          <w:rFonts w:ascii="Times New Roman" w:hAnsi="Times New Roman"/>
          <w:sz w:val="20"/>
        </w:rPr>
      </w:pPr>
      <w:r>
        <w:rPr>
          <w:rFonts w:ascii="Times New Roman" w:hAnsi="Times New Roman"/>
          <w:sz w:val="20"/>
        </w:rPr>
        <w:t xml:space="preserve">(12) written agreements entered into or assumed in connection with mergers or acquisitions of other businesses with Persons who were not Affiliates prior to such transactions; </w:t>
      </w:r>
      <w:r>
        <w:rPr>
          <w:rFonts w:ascii="Times New Roman" w:hAnsi="Times New Roman"/>
          <w:sz w:val="20"/>
          <w:u w:val="single"/>
        </w:rPr>
        <w:t>provided</w:t>
      </w:r>
      <w:r>
        <w:rPr>
          <w:rFonts w:ascii="Times New Roman" w:hAnsi="Times New Roman"/>
          <w:sz w:val="20"/>
        </w:rPr>
        <w:t xml:space="preserve"> that such agreement was not entered into in contemplation of such merger or acquisition, and any amendment thereto, so long as any such amendment is not disadvantageous to the Holders in the good faith judgment of the Board of Directors or senior management of the Issuer, when taken as a whole, as compared to the applicable agreement as in effect on the date of such acquisition or merger; </w:t>
      </w:r>
    </w:p>
    <w:p>
      <w:pPr>
        <w:pStyle w:val="TextBody"/>
        <w:bidi w:val="0"/>
        <w:spacing w:before="120" w:after="0"/>
        <w:jc w:val="left"/>
        <w:rPr>
          <w:rFonts w:ascii="Times New Roman" w:hAnsi="Times New Roman"/>
          <w:sz w:val="20"/>
        </w:rPr>
      </w:pPr>
      <w:r>
        <w:rPr>
          <w:rFonts w:ascii="Times New Roman" w:hAnsi="Times New Roman"/>
          <w:sz w:val="20"/>
        </w:rPr>
        <w:t xml:space="preserve">(13) payments to Affiliates on or with respect to debt securities or other Debt of the Issuer or any Subsidiary on a similar basis as payments are made or offered to holders of such debt securities or Debt held by Persons other than Affiliates and otherwise in accordance with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(14) any lease entered into between the Issuer or any Restricted Subsidiary, as lessee, and any Affiliate of the Issuer, as lessor, and transactions pursuant to that lease which lease is approved by the Board of Directors or senior management of the Issuer in good faith;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any customary transaction with a Receivables Subsidiary effected as part of a Permitted Securitization, any disposition of accounts receivable and related assets in connection with any Permitted Securitization and any repurchase of accounts receivable and related assets pursuant to a repurchase obligation in connection with a Permitted Securitization. </w:t>
      </w:r>
    </w:p>
    <w:p>
      <w:pPr>
        <w:pStyle w:val="TextBody"/>
        <w:bidi w:val="0"/>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sz w:val="20"/>
          <w:u w:val="single"/>
        </w:rPr>
        <w:t>Limitation on Liens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to the extent Section 4.13 is applicable pursuant to Sections 4.13 and 4.18, the Issuer shall not, and shall not permit any of its Restricted Subsidiaries to, directly or indirectly, create, incur, assume or suffer to exist any Lien (other than a Permitted Lien) on any property or asset (including any intercompany notes) of the Issuer or a Restricted Subsidiary now owned or hereafter acquired, or assign or convey a right to receive any income or profits from such Liens, to secure (i) any Debt of the Issuer unless prior to, or contemporaneously therewith, the Notes are equally and ratably secured for so long as such other Debt is so secured, or (ii) any Debt of any Subsidiary Guarantor, unless prior to, or contemporaneously therewith, the Subsidiary Guarantee of such Subsidiary Guarantor is equally and ratably secured for so long as such other Debt is so secured;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Debt is expressly subordinated to the Notes or a Subsidiary Guarantee, the Lien securing such Debt will be subordinated and junior to the Lien securing the Notes or such Subsidiary Guarantee, as the case may be, with the same relative priority as such Debt has with respect to the Notes or such Subsidiary Guarantee.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the foregoing, any Lien securing the Notes or any Subsidiary Guarantee granted pursuant to this Section 4.12 will be automatically and unconditionally released and discharged upon the release by the holders of the Debt described in Section 4.12(a) of their Lien on the property or assets of the Issuer or any Restricted Subsidiary (including any deemed release upon payment in full of all obligations under such Debt), at such time as the holders of all such Debt also release their Lien on the property or assets of the Issuer or such Restricted Subsidiary, or upon any sale, exchange or transfer to any Person that is not an Affiliate of the Issuer of the property or assets secured by such Lien, or of all of the Capital Stock held by the Issuer or any Restricted Subsidiary in, or all or substantially all the assets of, any Restricted Subsidiary creating such Lien. </w:t>
      </w:r>
    </w:p>
    <w:p>
      <w:pPr>
        <w:pStyle w:val="TextBody"/>
        <w:bidi w:val="0"/>
        <w:spacing w:before="120" w:after="0"/>
        <w:jc w:val="left"/>
        <w:rPr>
          <w:rFonts w:ascii="Times New Roman" w:hAnsi="Times New Roman"/>
          <w:sz w:val="20"/>
        </w:rPr>
      </w:pPr>
      <w:r>
        <w:rPr>
          <w:rFonts w:ascii="Times New Roman" w:hAnsi="Times New Roman"/>
          <w:sz w:val="20"/>
        </w:rPr>
        <w:t>(c) With respect to any Lien securing Debt that was permitted to secure such Debt at the time of the Incurrence of such Debt, such Lien shall also be permitted to secure any Increased Amount of such Debt. The “</w:t>
      </w:r>
      <w:r>
        <w:rPr>
          <w:rFonts w:ascii="Times New Roman" w:hAnsi="Times New Roman"/>
          <w:i/>
          <w:sz w:val="20"/>
        </w:rPr>
        <w:t>Increased Amount</w:t>
      </w:r>
      <w:r>
        <w:rPr>
          <w:rFonts w:ascii="Times New Roman" w:hAnsi="Times New Roman"/>
          <w:sz w:val="20"/>
        </w:rPr>
        <w:t xml:space="preserve">” of any Debt means any increase in the amount of such Debt in connection with any accrual of interest, the accretion of accreted value, the amortization of original issue discount, the payment of interest in the form of additional Debt with the same terms, accretion of original issue discount or liquidation preference, any fees, underwriting discounts, accrued and unpaid interest, premiums and other costs and expenses incurred in connection therewith and increases in the amount of Debt outstanding solely as a result of fluctuations in the exchange rate of currencies or increases in the value of property securing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For purposes of determining compliance with this Section 4.12, (A) a Lien need not be incurred solely by reference to one category of Permitted Liens described in the definition thereof but is permitted to be incurred in part under any combination thereof and of any other available exemption and (B) in the event that a Lien (or any portion thereof) meets the criteria of one or more of the categories of Permitted Liens, the Issuer will, in its sole discretion, be entitled to divide, classify or reclassify, in whole or in part, any such Lien (or any portion thereof) among one or more of such categories or clauses in any manner; </w:t>
      </w:r>
      <w:r>
        <w:rPr>
          <w:rFonts w:ascii="Times New Roman" w:hAnsi="Times New Roman"/>
          <w:sz w:val="20"/>
          <w:u w:val="single"/>
        </w:rPr>
        <w:t>provided</w:t>
      </w:r>
      <w:r>
        <w:rPr>
          <w:rFonts w:ascii="Times New Roman" w:hAnsi="Times New Roman"/>
          <w:sz w:val="20"/>
        </w:rPr>
        <w:t xml:space="preserve"> that any Lien securing Debt outstanding on the Issue Date under the New ABL Credit Facility or Incurred pursuant to the commitments thereunder in effect on the Issue Date shall be deemed incurred under clause (1) of the definition of “Permitted Liens” and may not later be reclassified. </w:t>
      </w:r>
    </w:p>
    <w:p>
      <w:pPr>
        <w:pStyle w:val="TextBody"/>
        <w:bidi w:val="0"/>
        <w:spacing w:before="240" w:after="0"/>
        <w:jc w:val="left"/>
        <w:rPr>
          <w:rFonts w:ascii="Times New Roman" w:hAnsi="Times New Roman"/>
          <w:sz w:val="20"/>
        </w:rPr>
      </w:pPr>
      <w:r>
        <w:rPr>
          <w:rFonts w:ascii="Times New Roman" w:hAnsi="Times New Roman"/>
          <w:sz w:val="20"/>
        </w:rPr>
        <w:t xml:space="preserve">SECTION 4.13. </w:t>
      </w:r>
      <w:r>
        <w:rPr>
          <w:rFonts w:ascii="Times New Roman" w:hAnsi="Times New Roman"/>
          <w:sz w:val="20"/>
          <w:u w:val="single"/>
        </w:rPr>
        <w:t>Limitation on Liens at Issuer’s Election Following the Termination Date</w:t>
      </w:r>
      <w:r>
        <w:rPr>
          <w:rFonts w:ascii="Times New Roman" w:hAnsi="Times New Roman"/>
          <w:sz w:val="20"/>
        </w:rPr>
        <w:t xml:space="preserve">. Following the Termination Date, the Issuer may elect by written notice to the Trustee to be subject to this Section 4.13 in lieu of Section 4.12. </w:t>
      </w:r>
    </w:p>
    <w:p>
      <w:pPr>
        <w:pStyle w:val="TextBody"/>
        <w:bidi w:val="0"/>
        <w:spacing w:before="120" w:after="0"/>
        <w:jc w:val="left"/>
        <w:rPr>
          <w:rFonts w:ascii="Times New Roman" w:hAnsi="Times New Roman"/>
          <w:sz w:val="20"/>
        </w:rPr>
      </w:pPr>
      <w:r>
        <w:rPr>
          <w:rFonts w:ascii="Times New Roman" w:hAnsi="Times New Roman"/>
          <w:sz w:val="20"/>
        </w:rPr>
        <w:t xml:space="preserve">(a) While the Notes remain outstanding, the Issuer shall not, and shall not permit any of its Subsidiaries to, create, incur, assume or suffer to exist any Lien of any kind upon any of its or their property or assets, now owned or hereafter acquired, without directly securing all of the Notes equally and ratably with the obligation or liability secured by the Lien, except for: </w:t>
      </w:r>
    </w:p>
    <w:p>
      <w:pPr>
        <w:pStyle w:val="TextBody"/>
        <w:bidi w:val="0"/>
        <w:spacing w:before="120" w:after="0"/>
        <w:jc w:val="left"/>
        <w:rPr>
          <w:rFonts w:ascii="Times New Roman" w:hAnsi="Times New Roman"/>
          <w:sz w:val="20"/>
        </w:rPr>
      </w:pPr>
      <w:r>
        <w:rPr>
          <w:rFonts w:ascii="Times New Roman" w:hAnsi="Times New Roman"/>
          <w:sz w:val="20"/>
        </w:rPr>
        <w:t xml:space="preserve">(1) Liens existing as of the date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(2) Liens, including sale and lease-back transactions, on any property acquired, constructed or improved after the date of this Indenture, which are created or assumed contemporaneously with, or within 180 days after, the acquisition or completion of such construction or improvement, or within six months thereafter by a commitment for financing arranged with a lender or investor within the 180-day period, to secure or provide for the payment of all or a portion of the purchase price of the property or the cost of the construction or improvement incurred after the date of this Indenture (or before the date of this Indenture in the case of any construction or improvement which is at least 40% completed at the date of this Indenture) or, in addition to Liens contemplated by clauses (3) and (4) of this Section 4.13(a), Liens on any property existing at the time of acquisition of the property including acquisition through merger or consolidation; </w:t>
      </w:r>
      <w:r>
        <w:rPr>
          <w:rFonts w:ascii="Times New Roman" w:hAnsi="Times New Roman"/>
          <w:sz w:val="20"/>
          <w:u w:val="single"/>
        </w:rPr>
        <w:t>provided</w:t>
      </w:r>
      <w:r>
        <w:rPr>
          <w:rFonts w:ascii="Times New Roman" w:hAnsi="Times New Roman"/>
          <w:sz w:val="20"/>
        </w:rPr>
        <w:t xml:space="preserve">, that any Lien (other than a sale and lease-back transaction meeting the requirements of this clause (2)) does not apply to any property theretofore owned by the Issuer or a Subsidiary other than, in the case of any such construction or improvement, any theretofore unimproved real property on which the property so constructed, or the improvement, is located; </w:t>
      </w:r>
    </w:p>
    <w:p>
      <w:pPr>
        <w:pStyle w:val="TextBody"/>
        <w:bidi w:val="0"/>
        <w:spacing w:before="120" w:after="0"/>
        <w:jc w:val="left"/>
        <w:rPr>
          <w:rFonts w:ascii="Times New Roman" w:hAnsi="Times New Roman"/>
          <w:sz w:val="20"/>
        </w:rPr>
      </w:pPr>
      <w:r>
        <w:rPr>
          <w:rFonts w:ascii="Times New Roman" w:hAnsi="Times New Roman"/>
          <w:sz w:val="20"/>
        </w:rPr>
        <w:t xml:space="preserve">(3) Liens existing on any property of a person at the time the person is merged with or into, or consolidates with, the Issuer or a Subsidiary; </w:t>
      </w:r>
    </w:p>
    <w:p>
      <w:pPr>
        <w:pStyle w:val="TextBody"/>
        <w:bidi w:val="0"/>
        <w:spacing w:before="120" w:after="0"/>
        <w:jc w:val="left"/>
        <w:rPr>
          <w:rFonts w:ascii="Times New Roman" w:hAnsi="Times New Roman"/>
          <w:sz w:val="20"/>
        </w:rPr>
      </w:pPr>
      <w:r>
        <w:rPr>
          <w:rFonts w:ascii="Times New Roman" w:hAnsi="Times New Roman"/>
          <w:sz w:val="20"/>
        </w:rPr>
        <w:t xml:space="preserve">(4) Liens on any property of a person (including, without limitation, shares of stock or debt securities) or its Subsidiaries existing at the time the person becomes a Subsidiary, is otherwise acquired by the Issuer or a Subsidiary or becomes a successor to the Issuer pursuant to Section 5.1;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Liens to secure an obligation or liability of a Subsidiary to the Issuer or to another Subsidiary; </w:t>
      </w:r>
    </w:p>
    <w:p>
      <w:pPr>
        <w:pStyle w:val="TextBody"/>
        <w:bidi w:val="0"/>
        <w:spacing w:before="120" w:after="0"/>
        <w:jc w:val="left"/>
        <w:rPr>
          <w:rFonts w:ascii="Times New Roman" w:hAnsi="Times New Roman"/>
          <w:sz w:val="20"/>
        </w:rPr>
      </w:pPr>
      <w:r>
        <w:rPr>
          <w:rFonts w:ascii="Times New Roman" w:hAnsi="Times New Roman"/>
          <w:sz w:val="20"/>
        </w:rPr>
        <w:t xml:space="preserve">(6) Liens in favor of the United States of America or any State thereof, or any department, agency or instrumentality or political subdivision of the United States of America or any State thereof, to secure partial progress, advance or other payments under any contract or statute or to secure any Debt incurred for the purpose of financing all or any part of the purchase price or the cost of constructing or improving the property subject to the Liens; </w:t>
      </w:r>
    </w:p>
    <w:p>
      <w:pPr>
        <w:pStyle w:val="TextBody"/>
        <w:bidi w:val="0"/>
        <w:spacing w:before="120" w:after="0"/>
        <w:jc w:val="left"/>
        <w:rPr>
          <w:rFonts w:ascii="Times New Roman" w:hAnsi="Times New Roman"/>
          <w:sz w:val="20"/>
        </w:rPr>
      </w:pPr>
      <w:r>
        <w:rPr>
          <w:rFonts w:ascii="Times New Roman" w:hAnsi="Times New Roman"/>
          <w:sz w:val="20"/>
        </w:rPr>
        <w:t xml:space="preserve">(7) Liens to secure tax-exempt private activity bonds under the Code; </w:t>
      </w:r>
    </w:p>
    <w:p>
      <w:pPr>
        <w:pStyle w:val="TextBody"/>
        <w:bidi w:val="0"/>
        <w:spacing w:before="120" w:after="0"/>
        <w:jc w:val="left"/>
        <w:rPr>
          <w:rFonts w:ascii="Times New Roman" w:hAnsi="Times New Roman"/>
          <w:sz w:val="20"/>
        </w:rPr>
      </w:pPr>
      <w:r>
        <w:rPr>
          <w:rFonts w:ascii="Times New Roman" w:hAnsi="Times New Roman"/>
          <w:sz w:val="20"/>
        </w:rPr>
        <w:t xml:space="preserve">(8) Liens arising out of or in connection with a sale and lease-back transaction if the net proceeds of the sale and lease-back transaction are at least equal to the fair value, as determined by the Board of Directors, the Chairman of the Board of Directors, the Vice Chairman of the Board of Directors, the President or the Principal Financial Officer of the Issuer, of the property subject to the sale and lease-back transaction; </w:t>
      </w:r>
    </w:p>
    <w:p>
      <w:pPr>
        <w:pStyle w:val="TextBody"/>
        <w:bidi w:val="0"/>
        <w:spacing w:before="120" w:after="0"/>
        <w:jc w:val="left"/>
        <w:rPr>
          <w:rFonts w:ascii="Times New Roman" w:hAnsi="Times New Roman"/>
          <w:sz w:val="20"/>
        </w:rPr>
      </w:pPr>
      <w:r>
        <w:rPr>
          <w:rFonts w:ascii="Times New Roman" w:hAnsi="Times New Roman"/>
          <w:sz w:val="20"/>
        </w:rPr>
        <w:t xml:space="preserve">(9) Liens for the sole purpose of extending, renewing or replacing in whole or in part Debt secured by any Lien referred to in the foregoing clauses (1) to (8), inclusive, or in this clause (9);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principal amount of Debt secured thereby shall not exceed the principal amount of Debt so secured at the time of the extension, renewal or replacement, and that this extension, renewal or replacement shall be limited to all or a part of the property which secured the Lien so extended, renewed or replaced plus improvements on the property; </w:t>
      </w:r>
    </w:p>
    <w:p>
      <w:pPr>
        <w:pStyle w:val="TextBody"/>
        <w:bidi w:val="0"/>
        <w:spacing w:before="120" w:after="0"/>
        <w:jc w:val="left"/>
        <w:rPr>
          <w:rFonts w:ascii="Times New Roman" w:hAnsi="Times New Roman"/>
          <w:sz w:val="20"/>
        </w:rPr>
      </w:pPr>
      <w:r>
        <w:rPr>
          <w:rFonts w:ascii="Times New Roman" w:hAnsi="Times New Roman"/>
          <w:sz w:val="20"/>
        </w:rPr>
        <w:t xml:space="preserve">(10) Liens arising out of or in connection with a sale and lease-back transaction in which the net proceeds of the sale and lease-back transaction are less than the fair value, as determined by the Board of Directors, the Chairman of the Board of Directors, the Vice Chairman of the Board of Directors, the President or the Principal Financial Officer of the Issuer, of the property subject to the sale and lease-back transaction if the Issuer provides in a resolution of its Board of Directors that it shall, and if the Issuer covenants that it will, within 180 days of the effective date of any arrangement or, in the case of clause (C) below, within six months thereafter under a firm purchase commitment entered into within the 180-day period, apply an amount equal to the fair market value as so determined of the property: </w:t>
      </w:r>
    </w:p>
    <w:p>
      <w:pPr>
        <w:pStyle w:val="TextBody"/>
        <w:bidi w:val="0"/>
        <w:spacing w:before="120" w:after="0"/>
        <w:jc w:val="left"/>
        <w:rPr>
          <w:rFonts w:ascii="Times New Roman" w:hAnsi="Times New Roman"/>
          <w:sz w:val="20"/>
        </w:rPr>
      </w:pPr>
      <w:r>
        <w:rPr>
          <w:rFonts w:ascii="Times New Roman" w:hAnsi="Times New Roman"/>
          <w:sz w:val="20"/>
        </w:rPr>
        <w:t xml:space="preserve">(A) to the redemption of the Notes which are, by their terms, at the time redeemable or the purchase and retirement of Notes, if permitted; </w:t>
      </w:r>
    </w:p>
    <w:p>
      <w:pPr>
        <w:pStyle w:val="TextBody"/>
        <w:bidi w:val="0"/>
        <w:spacing w:before="120" w:after="0"/>
        <w:jc w:val="left"/>
        <w:rPr>
          <w:rFonts w:ascii="Times New Roman" w:hAnsi="Times New Roman"/>
          <w:sz w:val="20"/>
        </w:rPr>
      </w:pPr>
      <w:r>
        <w:rPr>
          <w:rFonts w:ascii="Times New Roman" w:hAnsi="Times New Roman"/>
          <w:sz w:val="20"/>
        </w:rPr>
        <w:t xml:space="preserve">(B) to the payment or other retirement of funded debt incurred or assumed by the Issuer which ranks senior to or pari passu with the Notes or of funded debt incurred or assumed by any Subsidiary other than, in either case, funded debt owned by the Issuer or any Subsidiary;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purchase of property other than the property involved in the sale; </w:t>
      </w:r>
    </w:p>
    <w:p>
      <w:pPr>
        <w:pStyle w:val="TextBody"/>
        <w:bidi w:val="0"/>
        <w:spacing w:before="120" w:after="0"/>
        <w:jc w:val="left"/>
        <w:rPr>
          <w:rFonts w:ascii="Times New Roman" w:hAnsi="Times New Roman"/>
          <w:sz w:val="20"/>
        </w:rPr>
      </w:pPr>
      <w:r>
        <w:rPr>
          <w:rFonts w:ascii="Times New Roman" w:hAnsi="Times New Roman"/>
          <w:sz w:val="20"/>
        </w:rPr>
        <w:t xml:space="preserve">(11) Liens on (x) accounts receivable and related general intangibles and instruments arising out of or in connection with a sale or transfer by the Issuer or the Subsidiary of the accounts receivable and (y) any or all of the assets of a special purpose subsidiary that has purchased such accounts receivable (and related general intangibles and instruments) securing Debt of such special purpose subsidiary; </w:t>
      </w:r>
    </w:p>
    <w:p>
      <w:pPr>
        <w:pStyle w:val="TextBody"/>
        <w:bidi w:val="0"/>
        <w:spacing w:before="120" w:after="0"/>
        <w:jc w:val="left"/>
        <w:rPr>
          <w:rFonts w:ascii="Times New Roman" w:hAnsi="Times New Roman"/>
          <w:sz w:val="20"/>
        </w:rPr>
      </w:pPr>
      <w:r>
        <w:rPr>
          <w:rFonts w:ascii="Times New Roman" w:hAnsi="Times New Roman"/>
          <w:sz w:val="20"/>
        </w:rPr>
        <w:t xml:space="preserve">(12) Permitted Liens; and </w:t>
      </w:r>
    </w:p>
    <w:p>
      <w:pPr>
        <w:pStyle w:val="TextBody"/>
        <w:bidi w:val="0"/>
        <w:spacing w:before="120" w:after="0"/>
        <w:jc w:val="left"/>
        <w:rPr>
          <w:rFonts w:ascii="Times New Roman" w:hAnsi="Times New Roman"/>
          <w:sz w:val="20"/>
        </w:rPr>
      </w:pPr>
      <w:r>
        <w:rPr>
          <w:rFonts w:ascii="Times New Roman" w:hAnsi="Times New Roman"/>
          <w:sz w:val="20"/>
        </w:rPr>
        <w:t xml:space="preserve">(13) Liens other than those referred to in clauses (1) through (12) above which are created, incurred or assumed after the date of this Indenture, including those in connection with purchase money mortgages and sale and lease-back transactions; </w:t>
      </w:r>
      <w:r>
        <w:rPr>
          <w:rFonts w:ascii="Times New Roman" w:hAnsi="Times New Roman"/>
          <w:sz w:val="20"/>
          <w:u w:val="single"/>
        </w:rPr>
        <w:t>provided</w:t>
      </w:r>
      <w:r>
        <w:rPr>
          <w:rFonts w:ascii="Times New Roman" w:hAnsi="Times New Roman"/>
          <w:sz w:val="20"/>
        </w:rPr>
        <w:t xml:space="preserve"> that the aggregate amount of Debt secured by the Liens, or, in the case of sale and lease-back transactions, the value of the sale and lease-back transactions, referred to in this clause (13) does not exceed 15% of consolidated total assets. </w:t>
      </w:r>
    </w:p>
    <w:p>
      <w:pPr>
        <w:pStyle w:val="TextBody"/>
        <w:bidi w:val="0"/>
        <w:spacing w:before="120" w:after="0"/>
        <w:jc w:val="left"/>
        <w:rPr>
          <w:rFonts w:ascii="Times New Roman" w:hAnsi="Times New Roman"/>
          <w:sz w:val="20"/>
        </w:rPr>
      </w:pPr>
      <w:r>
        <w:rPr>
          <w:rFonts w:ascii="Times New Roman" w:hAnsi="Times New Roman"/>
          <w:sz w:val="20"/>
        </w:rPr>
        <w:t xml:space="preserve">(b) If at any time the Issuer or any Subsidiary shall create, incur, assume or suffer to exist any Lien and if paragraph (a) of this Section 4.13 requires that the Notes be secured equally and ratably with the obligation or liability secured by the Liens, the Issuer will deliver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(1) an Officer’s Certificate stating that the covenant of the Issuer contained in paragraph (a) of this Section 4.13 has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(2) an Opinion of Counsel to the effect that such covenant has been complied with, and that any instruments executed by the Issuer in the performance of the covenant comply with the requirements of the covenant.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that the Issuer shall hereafter secure the Notes equally and ratably with any other obligation or liability pursuant to the provisions of this Section 4.13, the Trustee is hereby authorized to enter into an indenture or agreement supplemental hereto. </w:t>
      </w:r>
    </w:p>
    <w:p>
      <w:pPr>
        <w:pStyle w:val="TextBody"/>
        <w:bidi w:val="0"/>
        <w:spacing w:before="120" w:after="0"/>
        <w:jc w:val="left"/>
        <w:rPr>
          <w:rFonts w:ascii="Times New Roman" w:hAnsi="Times New Roman"/>
          <w:sz w:val="20"/>
        </w:rPr>
      </w:pPr>
      <w:r>
        <w:rPr>
          <w:rFonts w:ascii="Times New Roman" w:hAnsi="Times New Roman"/>
          <w:sz w:val="20"/>
        </w:rPr>
        <w:t xml:space="preserve">(d) Solely for purposes of this Section 4.13, the following terms have the meanings as set forth below: </w:t>
      </w:r>
    </w:p>
    <w:p>
      <w:pPr>
        <w:pStyle w:val="TextBody"/>
        <w:bidi w:val="0"/>
        <w:spacing w:before="240" w:after="0"/>
        <w:jc w:val="left"/>
        <w:rPr/>
      </w:pPr>
      <w:r>
        <w:rPr/>
        <w:t>“</w:t>
      </w:r>
      <w:r>
        <w:rPr>
          <w:rFonts w:ascii="Times New Roman" w:hAnsi="Times New Roman"/>
          <w:i/>
          <w:sz w:val="20"/>
        </w:rPr>
        <w:t>consolidated total assets</w:t>
      </w:r>
      <w:r>
        <w:rPr>
          <w:rFonts w:ascii="Times New Roman" w:hAnsi="Times New Roman"/>
          <w:sz w:val="20"/>
        </w:rPr>
        <w:t xml:space="preserve">” means the total of all the assets appearing on the consolidated balance sheet of the Issuer and its Subsidiaries determined according to generally accepted accounting principles applicable to the type of business in which the Issuer and the Subsidiaries are engaged, and may be determined as of a date not more than 60 days before the happening of the event for which the determination is being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funded debt</w:t>
      </w:r>
      <w:r>
        <w:rPr>
          <w:rFonts w:ascii="Times New Roman" w:hAnsi="Times New Roman"/>
          <w:sz w:val="20"/>
        </w:rPr>
        <w:t xml:space="preserve">” means any Debt which by its terms matures at or is extendable or renewable at the sole option of the obligor without requiring the consent of the obligee to a date more than 12 months after the date of the creation of the Debt. </w:t>
      </w:r>
    </w:p>
    <w:p>
      <w:pPr>
        <w:pStyle w:val="TextBody"/>
        <w:bidi w:val="0"/>
        <w:spacing w:before="240" w:after="0"/>
        <w:jc w:val="left"/>
        <w:rPr/>
      </w:pPr>
      <w:r>
        <w:rPr/>
        <w:t>“</w:t>
      </w:r>
      <w:r>
        <w:rPr>
          <w:rFonts w:ascii="Times New Roman" w:hAnsi="Times New Roman"/>
          <w:i/>
          <w:sz w:val="20"/>
        </w:rPr>
        <w:t>Liens</w:t>
      </w:r>
      <w:r>
        <w:rPr>
          <w:rFonts w:ascii="Times New Roman" w:hAnsi="Times New Roman"/>
          <w:sz w:val="20"/>
        </w:rPr>
        <w:t xml:space="preserve">” means, as to any Person, any mortgage, lien, collateral assignment, pledge, charge, security interest or other encumbrance in respect of or on, or any interest or title of any vendor, lessor, lender or other secured party to or of such Person under any conditional sale or other title retention agreement, purchase money mortgage or sale and lease-back transaction with respect to, any property or asset (including without limitation income and rights thereto) of such Person (including without limitation capital stock of any Subsidiary of such Person) or the signing by such Person and filing of a financing statement which names such Person as debtor or the signing of any security agreement agreeing to file, or authorizing any other party as the secured party thereunder to file, any financing statement. </w:t>
      </w:r>
    </w:p>
    <w:p>
      <w:pPr>
        <w:pStyle w:val="TextBody"/>
        <w:bidi w:val="0"/>
        <w:spacing w:before="240" w:after="0"/>
        <w:jc w:val="left"/>
        <w:rPr/>
      </w:pPr>
      <w:r>
        <w:rPr/>
        <w:t>“</w:t>
      </w:r>
      <w:r>
        <w:rPr>
          <w:rFonts w:ascii="Times New Roman" w:hAnsi="Times New Roman"/>
          <w:i/>
          <w:sz w:val="20"/>
        </w:rPr>
        <w:t>Permitted Liens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mechanics, materialmen, landlords, warehousemen and carriers Liens and other similar Liens imposed by law securing obligations incurred in the ordinary course of business which are not past due or which are being contested in good faith by appropriate proceedings and for which appropriate reserves have been established; </w:t>
      </w:r>
    </w:p>
    <w:p>
      <w:pPr>
        <w:pStyle w:val="TextBody"/>
        <w:bidi w:val="0"/>
        <w:spacing w:before="120" w:after="0"/>
        <w:jc w:val="left"/>
        <w:rPr>
          <w:rFonts w:ascii="Times New Roman" w:hAnsi="Times New Roman"/>
          <w:sz w:val="20"/>
        </w:rPr>
      </w:pPr>
      <w:r>
        <w:rPr>
          <w:rFonts w:ascii="Times New Roman" w:hAnsi="Times New Roman"/>
          <w:sz w:val="20"/>
        </w:rPr>
        <w:t xml:space="preserve">(2) Liens under workmen’s compensation, unemployment insurance, social security or similar legislation; </w:t>
      </w:r>
    </w:p>
    <w:p>
      <w:pPr>
        <w:pStyle w:val="TextBody"/>
        <w:bidi w:val="0"/>
        <w:spacing w:before="120" w:after="0"/>
        <w:jc w:val="left"/>
        <w:rPr>
          <w:rFonts w:ascii="Times New Roman" w:hAnsi="Times New Roman"/>
          <w:sz w:val="20"/>
        </w:rPr>
      </w:pPr>
      <w:r>
        <w:rPr>
          <w:rFonts w:ascii="Times New Roman" w:hAnsi="Times New Roman"/>
          <w:sz w:val="20"/>
        </w:rPr>
        <w:t xml:space="preserve">(3) Liens, deposits, or pledges to secure the performance of bids, tenders, contracts (other than contracts for the payment of money), leases, public or statutory obligations, surety, stay, appeal, indemnity, performance or other similar bonds, or similar obligations arising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(4) judgment and other similar Liens arising in connection with court proceedings; </w:t>
      </w:r>
      <w:r>
        <w:rPr>
          <w:rFonts w:ascii="Times New Roman" w:hAnsi="Times New Roman"/>
          <w:sz w:val="20"/>
          <w:u w:val="single"/>
        </w:rPr>
        <w:t>provided</w:t>
      </w:r>
      <w:r>
        <w:rPr>
          <w:rFonts w:ascii="Times New Roman" w:hAnsi="Times New Roman"/>
          <w:sz w:val="20"/>
        </w:rPr>
        <w:t xml:space="preserve"> that the execution or other enforcement of the Liens is effectively stayed and the claims secured thereby are being actively contested in good faith and by appropriate proceedings; and </w:t>
      </w:r>
    </w:p>
    <w:p>
      <w:pPr>
        <w:pStyle w:val="TextBody"/>
        <w:bidi w:val="0"/>
        <w:spacing w:before="120" w:after="0"/>
        <w:jc w:val="left"/>
        <w:rPr>
          <w:rFonts w:ascii="Times New Roman" w:hAnsi="Times New Roman"/>
          <w:sz w:val="20"/>
        </w:rPr>
      </w:pPr>
      <w:r>
        <w:rPr>
          <w:rFonts w:ascii="Times New Roman" w:hAnsi="Times New Roman"/>
          <w:sz w:val="20"/>
        </w:rPr>
        <w:t xml:space="preserve">(5) easements, rights of way, restrictions and other similar encumbrances which, in the aggregate, do not materially interfere with the occupation, use and enjoyment by the Issuer or any Subsidiary of the property or assets encumbered thereby in the normal course of its business or materially impair the value of the property subject thereto. </w:t>
      </w:r>
    </w:p>
    <w:p>
      <w:pPr>
        <w:pStyle w:val="TextBody"/>
        <w:bidi w:val="0"/>
        <w:spacing w:before="240" w:after="0"/>
        <w:jc w:val="left"/>
        <w:rPr/>
      </w:pPr>
      <w:r>
        <w:rPr/>
        <w:t>“</w:t>
      </w:r>
      <w:r>
        <w:rPr>
          <w:rFonts w:ascii="Times New Roman" w:hAnsi="Times New Roman"/>
          <w:i/>
          <w:sz w:val="20"/>
        </w:rPr>
        <w:t>sale and lease-back transaction</w:t>
      </w:r>
      <w:r>
        <w:rPr>
          <w:rFonts w:ascii="Times New Roman" w:hAnsi="Times New Roman"/>
          <w:sz w:val="20"/>
        </w:rPr>
        <w:t xml:space="preserve">” means, with respect to any person, any direct or indirect arrangement with any other person or to which any other person is a party, providing for the leasing to the first person of any property, whether now owned or hereafter acquired (except for temporary leases for a term, including any renewal of the leases, of not more than three years and except for leases between the Issuer and a Subsidiary or between Subsidiaries), which has been or is to be sold or transferred by the first person to the other person or to any person to whom funds have been or are to be advanced by the other person on the security of the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value</w:t>
      </w:r>
      <w:r>
        <w:rPr>
          <w:rFonts w:ascii="Times New Roman" w:hAnsi="Times New Roman"/>
          <w:sz w:val="20"/>
        </w:rPr>
        <w:t xml:space="preserve">” means, with respect to a sale and lease-back transaction, as of any particular time, the amount equal to the greater of: (x) the net proceeds from the sale or transfer of the property leased under the sale and lease-back transaction; or (y) the fair value in the opinion of the Board of Directors, the Chairman of the Board of Directors, the Vice Chairman of the Board of Directors, the President or the Principal Financial Officer of the Issuer of the property at the time of entering into the sale and lease-back transaction, in either case multiplied by a fraction, the numerator of which shall be equal to the number of full years of the term of the lease remaining at the time of determination and the denominator of which shall be equal to the number of full years of the term, without regard to any renewal or extension options contained in the lease. </w:t>
      </w:r>
    </w:p>
    <w:p>
      <w:pPr>
        <w:pStyle w:val="TextBody"/>
        <w:bidi w:val="0"/>
        <w:spacing w:before="240" w:after="0"/>
        <w:jc w:val="left"/>
        <w:rPr>
          <w:rFonts w:ascii="Times New Roman" w:hAnsi="Times New Roman"/>
          <w:sz w:val="20"/>
        </w:rPr>
      </w:pPr>
      <w:r>
        <w:rPr>
          <w:rFonts w:ascii="Times New Roman" w:hAnsi="Times New Roman"/>
          <w:sz w:val="20"/>
        </w:rPr>
        <w:t xml:space="preserve">SECTION 4.14. </w:t>
      </w:r>
      <w:r>
        <w:rPr>
          <w:rFonts w:ascii="Times New Roman" w:hAnsi="Times New Roman"/>
          <w:sz w:val="20"/>
          <w:u w:val="single"/>
        </w:rPr>
        <w:t>Offer to Repurchase Upon Change of Control.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a Change of Control Triggering Event occurs with respect to the Notes, unless the Issuer has exercised its option to redeem such Notes by mailing notice of such redemption to the Holders of the Notes being redeemed, the Issuer will be required to make an offer (a “</w:t>
      </w:r>
      <w:r>
        <w:rPr>
          <w:rFonts w:ascii="Times New Roman" w:hAnsi="Times New Roman"/>
          <w:i/>
          <w:sz w:val="20"/>
        </w:rPr>
        <w:t>Change of Control Offer</w:t>
      </w:r>
      <w:r>
        <w:rPr>
          <w:rFonts w:ascii="Times New Roman" w:hAnsi="Times New Roman"/>
          <w:sz w:val="20"/>
        </w:rPr>
        <w:t>”) to each Holder of the Notes with respect to which such Change of Control Triggering Event has occurred to repurchase all of such Holder’s Notes or any part of such Holder’s Notes such that the principal amount that remains outstanding of each Note not repurchased in full equals $2,000 or an integral multiple of $1,000 in excess thereof on the terms set forth in such Notes. In a Change of Control Offer, the Issuer shall be required to offer payment in cash equal to 101% of the principal amount of any Notes repurchased, plus accrued and unpaid interest, if any, on the Notes repurchased to the repurchase date (a “</w:t>
      </w:r>
      <w:r>
        <w:rPr>
          <w:rFonts w:ascii="Times New Roman" w:hAnsi="Times New Roman"/>
          <w:i/>
          <w:sz w:val="20"/>
        </w:rPr>
        <w:t>Change of Control Payment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Within 30 days following any Change of Control Triggering Event or, at the Issuer’s option, prior to any Change of Control, but after public announcement of the transaction that constitutes or may constitute the Change of Control, a notice will be mailed to Holders of the Notes, as the case may be,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or delivered electronically (a “</w:t>
      </w:r>
      <w:r>
        <w:rPr>
          <w:rFonts w:ascii="Times New Roman" w:hAnsi="Times New Roman"/>
          <w:i/>
          <w:sz w:val="20"/>
        </w:rPr>
        <w:t>Change of Control Payment Date</w:t>
      </w:r>
      <w:r>
        <w:rPr>
          <w:rFonts w:ascii="Times New Roman" w:hAnsi="Times New Roman"/>
          <w:sz w:val="20"/>
        </w:rPr>
        <w:t xml:space="preserve">”). The notice will, if mailed or delivered electronically prior to the date of consummation of the Change of Control, state that the Change of Control Offer is conditioned on the Change of Control Triggering Event occurring on or prior to the applicable Change of Control Payment Date. </w:t>
      </w:r>
    </w:p>
    <w:p>
      <w:pPr>
        <w:pStyle w:val="TextBody"/>
        <w:bidi w:val="0"/>
        <w:spacing w:before="120" w:after="0"/>
        <w:jc w:val="left"/>
        <w:rPr>
          <w:rFonts w:ascii="Times New Roman" w:hAnsi="Times New Roman"/>
          <w:sz w:val="20"/>
        </w:rPr>
      </w:pPr>
      <w:r>
        <w:rPr>
          <w:rFonts w:ascii="Times New Roman" w:hAnsi="Times New Roman"/>
          <w:sz w:val="20"/>
        </w:rPr>
        <w:t xml:space="preserve">(c) Upon the Change of Control Payment Date, the Issuer shall, to the extent lawful: </w:t>
      </w:r>
    </w:p>
    <w:p>
      <w:pPr>
        <w:pStyle w:val="TextBody"/>
        <w:bidi w:val="0"/>
        <w:spacing w:before="120" w:after="0"/>
        <w:jc w:val="left"/>
        <w:rPr>
          <w:rFonts w:ascii="Times New Roman" w:hAnsi="Times New Roman"/>
          <w:sz w:val="20"/>
        </w:rPr>
      </w:pPr>
      <w:r>
        <w:rPr>
          <w:rFonts w:ascii="Times New Roman" w:hAnsi="Times New Roman"/>
          <w:sz w:val="20"/>
        </w:rPr>
        <w:t xml:space="preserve">(1) accept for payment all Notes or portions of Notes properly tendered and not withdrawn pursuant to the Change of Control Offer; </w:t>
      </w:r>
    </w:p>
    <w:p>
      <w:pPr>
        <w:pStyle w:val="TextBody"/>
        <w:bidi w:val="0"/>
        <w:spacing w:before="120" w:after="0"/>
        <w:jc w:val="left"/>
        <w:rPr>
          <w:rFonts w:ascii="Times New Roman" w:hAnsi="Times New Roman"/>
          <w:sz w:val="20"/>
        </w:rPr>
      </w:pPr>
      <w:r>
        <w:rPr>
          <w:rFonts w:ascii="Times New Roman" w:hAnsi="Times New Roman"/>
          <w:sz w:val="20"/>
        </w:rPr>
        <w:t xml:space="preserve">(2) deposit with the Paying Agent an amount equal to the Change of Control Payment in respect of all Notes or portions of Notes properly tendered;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deliver or cause to be delivered to the Trustee the Notes properly accepted together with an Officer’s Certificate stating the aggregate principal amount of Notes or portions of Notes being repurchased. </w:t>
      </w:r>
    </w:p>
    <w:p>
      <w:pPr>
        <w:pStyle w:val="TextBody"/>
        <w:bidi w:val="0"/>
        <w:spacing w:before="120" w:after="0"/>
        <w:jc w:val="left"/>
        <w:rPr>
          <w:rFonts w:ascii="Times New Roman" w:hAnsi="Times New Roman"/>
          <w:sz w:val="20"/>
        </w:rPr>
      </w:pPr>
      <w:r>
        <w:rPr>
          <w:rFonts w:ascii="Times New Roman" w:hAnsi="Times New Roman"/>
          <w:sz w:val="20"/>
        </w:rPr>
        <w:t xml:space="preserve">(d) The Issuer shall not be required to make a Change of Control Offer upon the occurrence of a Change of Control Triggering Event if a third party makes such an offer in the manner, at the times and otherwise in compliance with the requirements for an offer made by the Issuer and the third party repurchases all Notes properly tendered and not withdrawn under its offer. In addition, the Issuer shall not repurchase any Notes if there has occurred and is continuing on the Change of Control Payment Date an Event of Default under this Indenture, other than a Default in the payment of the Change of Control Payment upon a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(e) The Issuer shall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the Issuer shall comply with those securities laws and regulations and shall not be deemed to have breached its obligations under the Change of Control Offer provisions of the Notes by virtue of any such conflict. </w:t>
      </w:r>
    </w:p>
    <w:p>
      <w:pPr>
        <w:pStyle w:val="TextBody"/>
        <w:bidi w:val="0"/>
        <w:spacing w:before="240" w:after="0"/>
        <w:jc w:val="left"/>
        <w:rPr>
          <w:rFonts w:ascii="Times New Roman" w:hAnsi="Times New Roman"/>
          <w:sz w:val="20"/>
        </w:rPr>
      </w:pPr>
      <w:r>
        <w:rPr>
          <w:rFonts w:ascii="Times New Roman" w:hAnsi="Times New Roman"/>
          <w:sz w:val="20"/>
        </w:rPr>
        <w:t xml:space="preserve">SECTION 4.15. </w:t>
      </w:r>
      <w:r>
        <w:rPr>
          <w:rFonts w:ascii="Times New Roman" w:hAnsi="Times New Roman"/>
          <w:sz w:val="20"/>
          <w:u w:val="single"/>
        </w:rPr>
        <w:t>Corporate Existence</w:t>
      </w:r>
      <w:r>
        <w:rPr>
          <w:rFonts w:ascii="Times New Roman" w:hAnsi="Times New Roman"/>
          <w:sz w:val="20"/>
        </w:rPr>
        <w:t xml:space="preserve">. Subject to Article V, the Issuer shall do or cause to be done all things necessary to preserve and keep in full force and effect its corporate existence and the corporate, partnership, limited liability company or other existence of each of the Subsidiary Guarantors in accordance with the respective organizational documents (as the same may be amended from time to time) of the Issuer or any such Subsidiary Guarantor and the rights (charter and statutory) and franchises of the Issuer and the Subsidiary Guarantors; </w:t>
      </w:r>
      <w:r>
        <w:rPr>
          <w:rFonts w:ascii="Times New Roman" w:hAnsi="Times New Roman"/>
          <w:sz w:val="20"/>
          <w:u w:val="single"/>
        </w:rPr>
        <w:t>provided</w:t>
      </w:r>
      <w:r>
        <w:rPr>
          <w:rFonts w:ascii="Times New Roman" w:hAnsi="Times New Roman"/>
          <w:sz w:val="20"/>
        </w:rPr>
        <w:t xml:space="preserve"> that the Issuer shall not be required to preserve any such right or franchise, or the corporate, partnership or other existence of any of the Subsidiary Guarantors, if the Issuer shall determine that the preservation thereof is no longer desirable in the conduct of the business of the Issuer and its Subsidiaries as a whole and that the loss thereof is not disadvantageous in any material respect to any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4.16. </w:t>
      </w:r>
      <w:r>
        <w:rPr>
          <w:rFonts w:ascii="Times New Roman" w:hAnsi="Times New Roman"/>
          <w:sz w:val="20"/>
          <w:u w:val="single"/>
        </w:rPr>
        <w:t>Future Guarantees</w:t>
      </w:r>
      <w:r>
        <w:rPr>
          <w:rFonts w:ascii="Times New Roman" w:hAnsi="Times New Roman"/>
          <w:sz w:val="20"/>
        </w:rPr>
        <w:t xml:space="preserve">. On and after the Issue Date, if any Domestic Subsidiary that is not already a Subsidiary Guarantor guarantees any Debt of the Issuer or a Subsidiary Guarantor under, or becomes an obligor under, (i) any credit facility, debt facility, indenture, note purchase agreement or commercial paper facility, in each case, with banks or other financial institutions or lenders or investors, providing for revolving credit loans, term loans, private placement bonds or other debt securities of the Issuer or any Subsidiary Guarantor consisting of debt for money borrowed in the form of loans or other obligations from banks, institutional lenders or other financial institutions (other than (x) Debt under the New ABL Credit Facility Incurred pursuant to Section 4.9(b)(1)(i), (y) any Permitted Securitization Incurred pursuant to Section 4.9(b)(10) or (z) any Finance Lease Obligation or purchase money obligation Incurred pursuant to Section 4.9(b)(6)) or (ii) any Capital Markets Debt issued by the Issuer or any Subsidiary Guarantor, in the case of each of clauses (i) and (ii), in an aggregate principal amount or commitment amount, as the case may be, in excess of $50.0 million, then such Domestic Subsidiary will become a Subsidiary Guarantor and execute a supplemental indenture to this Indenture, the form of which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attached hereto as Exhibit B, within 60 days of the date on which it became a guarantor or borrower with respect to such other Debt; </w:t>
      </w:r>
      <w:r>
        <w:rPr>
          <w:rFonts w:ascii="Times New Roman" w:hAnsi="Times New Roman"/>
          <w:sz w:val="20"/>
          <w:u w:val="single"/>
        </w:rPr>
        <w:t>provided</w:t>
      </w:r>
      <w:r>
        <w:rPr>
          <w:rFonts w:ascii="Times New Roman" w:hAnsi="Times New Roman"/>
          <w:sz w:val="20"/>
        </w:rPr>
        <w:t xml:space="preserve"> that if such other Debt is by its express terms subordinated in right of payment to the Notes, any such Guarantee by such Domestic Subsidiary with respect to such other Debt shall be subordinated in right of payment to such Domestic Subsidiary’s Guarantee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4.17. </w:t>
      </w:r>
      <w:r>
        <w:rPr>
          <w:rFonts w:ascii="Times New Roman" w:hAnsi="Times New Roman"/>
          <w:sz w:val="20"/>
          <w:u w:val="single"/>
        </w:rPr>
        <w:t>Designation of Restricted and Unrestricted 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Issuer, by delivery of an Officer’s Certificate to the Trustee, may designate any Restricted Subsidiary to be an “</w:t>
      </w:r>
      <w:r>
        <w:rPr>
          <w:rFonts w:ascii="Times New Roman" w:hAnsi="Times New Roman"/>
          <w:i/>
          <w:sz w:val="20"/>
        </w:rPr>
        <w:t>Unrestricted Subsidiary</w:t>
      </w:r>
      <w:r>
        <w:rPr>
          <w:rFonts w:ascii="Times New Roman" w:hAnsi="Times New Roman"/>
          <w:sz w:val="20"/>
        </w:rPr>
        <w:t xml:space="preserve">,” in which event such Subsidiary and each other Person that is then or thereafter becomes a Subsidiary of such Subsidiary will be deemed to be an Unrestricted Subsidiary, if: (1) neither the Issuer nor any of its other Subsidiaries (other than another Unrestricted Subsidiary) provides credit support for, or a Guarantee of, any Debt of such Subsidiary or any Subsidiary of such Subsidiary (including any undertaking, agreement or instrument evidencing such Debt) or is directly or indirectly liable for any Debt of such Subsidiary or any Subsidiary of such Subsidiary, and no default with respect to any Debt of such Subsidiary or any Subsidiary of such Subsidiary (including any right which the holders thereof may have to take enforcement action against such Subsidiary) would permit (upon notice, lapse of time or both) any holder of any other Debt of the Issuer and its Subsidiaries (other than another Unrestricted Subsidiary) to declare a default on such other Debt or cause the payment thereof to be accelerated or payable prior to its final scheduled maturity, except in either case to the extent that the amount of any such Debt constitutes a Restricted Payment or Permitted Investment that is made in compliance with Section 4.7; (2) such Subsidiary does not own any Capital Stock of, or does not own or hold any Lien on any property of, any other Restricted Subsidiary which is not a Subsidiary of the Subsidiary to be so designated or otherwise an Unrestricted Subsidiary; (3) at the time of designation, the Issuer could make a Restricted Payment or Permitted Investment in an amount equal to the Fair Market Value of its interest in such Subsidiary pursuant to Section 4.7; (4) such Subsidiary is a Person with respect to which neither the Issuer nor any of its Restricted Subsidiaries has any direct or indirect obligation to (a) subscribe for additional Capital Stock of such Subsidiary or (b) maintain or preserve such Subsidiary’s financial condition or to cause such Subsidiary to achieve any specified levels of operating results, except in either case to the extent that the amount of any such obligation constitutes a Restricted Payment or Permitted Investment that is made in compliance with Section 4.7; and (5) no Default shall have occurred and be continuing at the time of, or immediately after giving effect to, such designation. </w:t>
      </w:r>
    </w:p>
    <w:p>
      <w:pPr>
        <w:pStyle w:val="TextBody"/>
        <w:bidi w:val="0"/>
        <w:spacing w:before="120" w:after="0"/>
        <w:jc w:val="left"/>
        <w:rPr>
          <w:rFonts w:ascii="Times New Roman" w:hAnsi="Times New Roman"/>
          <w:sz w:val="20"/>
        </w:rPr>
      </w:pPr>
      <w:r>
        <w:rPr>
          <w:rFonts w:ascii="Times New Roman" w:hAnsi="Times New Roman"/>
          <w:sz w:val="20"/>
        </w:rPr>
        <w:t xml:space="preserve">(b) The designation of any Restricted Subsidiary as an Unrestricted Subsidiary shall constitute an Investment by the Issuer in such Subsidiary on the date of designation in an amount equal to the Fair Market Value of the Issuer’s Investment therein. </w:t>
      </w:r>
    </w:p>
    <w:p>
      <w:pPr>
        <w:pStyle w:val="TextBody"/>
        <w:bidi w:val="0"/>
        <w:spacing w:before="120" w:after="0"/>
        <w:jc w:val="left"/>
        <w:rPr>
          <w:rFonts w:ascii="Times New Roman" w:hAnsi="Times New Roman"/>
          <w:sz w:val="20"/>
        </w:rPr>
      </w:pPr>
      <w:r>
        <w:rPr>
          <w:rFonts w:ascii="Times New Roman" w:hAnsi="Times New Roman"/>
          <w:sz w:val="20"/>
        </w:rPr>
        <w:t xml:space="preserve">(c) The designation of any Unrestricted Subsidiary as a Restricted Subsidiary shall constitute the Incurrence at the time of designation of any Investment, Debt or Liens of such Subsidiary existing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shall have no duty whatsoever to monitor or inquire whether a Subsidiary is a Restricted Subsidiary or an Unrestricted Subsidiary and may be entitled to conclusively rely on the Officer’s Certificates delivered to it by the Issuer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SECTION 4.18. </w:t>
      </w:r>
      <w:r>
        <w:rPr>
          <w:rFonts w:ascii="Times New Roman" w:hAnsi="Times New Roman"/>
          <w:sz w:val="20"/>
          <w:u w:val="single"/>
        </w:rPr>
        <w:t>Termination of Certain 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on any date following the Issue Date, the Notes have an Investment Grade Rating from at least two of the Rating Agencies, and no Default or Event of Default shall have occurred and be continuing, then beginning on that day (the “</w:t>
      </w:r>
      <w:r>
        <w:rPr>
          <w:rFonts w:ascii="Times New Roman" w:hAnsi="Times New Roman"/>
          <w:i/>
          <w:sz w:val="20"/>
        </w:rPr>
        <w:t>Termination Date</w:t>
      </w:r>
      <w:r>
        <w:rPr>
          <w:rFonts w:ascii="Times New Roman" w:hAnsi="Times New Roman"/>
          <w:sz w:val="20"/>
        </w:rPr>
        <w:t xml:space="preserve">”) and continuing at all times thereafter regardless of any subsequent changes in the rating of the Notes, the following sections of this Indenture shall be terminated and the Issuer shall be released from its obligations thereunder: </w:t>
      </w:r>
    </w:p>
    <w:p>
      <w:pPr>
        <w:pStyle w:val="TextBody"/>
        <w:bidi w:val="0"/>
        <w:spacing w:before="120" w:after="0"/>
        <w:jc w:val="left"/>
        <w:rPr>
          <w:rFonts w:ascii="Times New Roman" w:hAnsi="Times New Roman"/>
          <w:sz w:val="20"/>
        </w:rPr>
      </w:pPr>
      <w:r>
        <w:rPr>
          <w:rFonts w:ascii="Times New Roman" w:hAnsi="Times New Roman"/>
          <w:sz w:val="20"/>
        </w:rPr>
        <w:t xml:space="preserve">(1) Section 4.7; </w:t>
      </w:r>
    </w:p>
    <w:p>
      <w:pPr>
        <w:pStyle w:val="TextBody"/>
        <w:bidi w:val="0"/>
        <w:spacing w:before="120" w:after="0"/>
        <w:jc w:val="left"/>
        <w:rPr>
          <w:rFonts w:ascii="Times New Roman" w:hAnsi="Times New Roman"/>
          <w:sz w:val="20"/>
        </w:rPr>
      </w:pPr>
      <w:r>
        <w:rPr>
          <w:rFonts w:ascii="Times New Roman" w:hAnsi="Times New Roman"/>
          <w:sz w:val="20"/>
        </w:rPr>
        <w:t xml:space="preserve">(2) Section 4.8; </w:t>
      </w:r>
    </w:p>
    <w:p>
      <w:pPr>
        <w:pStyle w:val="TextBody"/>
        <w:bidi w:val="0"/>
        <w:spacing w:before="120" w:after="0"/>
        <w:jc w:val="left"/>
        <w:rPr>
          <w:rFonts w:ascii="Times New Roman" w:hAnsi="Times New Roman"/>
          <w:sz w:val="20"/>
        </w:rPr>
      </w:pPr>
      <w:r>
        <w:rPr>
          <w:rFonts w:ascii="Times New Roman" w:hAnsi="Times New Roman"/>
          <w:sz w:val="20"/>
        </w:rPr>
        <w:t xml:space="preserve">(3) Section 4.9; </w:t>
      </w:r>
    </w:p>
    <w:p>
      <w:pPr>
        <w:pStyle w:val="TextBody"/>
        <w:bidi w:val="0"/>
        <w:spacing w:before="120" w:after="0"/>
        <w:jc w:val="left"/>
        <w:rPr>
          <w:rFonts w:ascii="Times New Roman" w:hAnsi="Times New Roman"/>
          <w:sz w:val="20"/>
        </w:rPr>
      </w:pPr>
      <w:r>
        <w:rPr>
          <w:rFonts w:ascii="Times New Roman" w:hAnsi="Times New Roman"/>
          <w:sz w:val="20"/>
        </w:rPr>
        <w:t xml:space="preserve">(4) Section 4.10; </w:t>
      </w:r>
    </w:p>
    <w:p>
      <w:pPr>
        <w:pStyle w:val="TextBody"/>
        <w:bidi w:val="0"/>
        <w:spacing w:before="120" w:after="0"/>
        <w:jc w:val="left"/>
        <w:rPr>
          <w:rFonts w:ascii="Times New Roman" w:hAnsi="Times New Roman"/>
          <w:sz w:val="20"/>
        </w:rPr>
      </w:pPr>
      <w:r>
        <w:rPr>
          <w:rFonts w:ascii="Times New Roman" w:hAnsi="Times New Roman"/>
          <w:sz w:val="20"/>
        </w:rPr>
        <w:t xml:space="preserve">(5) Section 4.11; </w:t>
      </w:r>
    </w:p>
    <w:p>
      <w:pPr>
        <w:pStyle w:val="TextBody"/>
        <w:bidi w:val="0"/>
        <w:spacing w:before="120" w:after="0"/>
        <w:jc w:val="left"/>
        <w:rPr>
          <w:rFonts w:ascii="Times New Roman" w:hAnsi="Times New Roman"/>
          <w:sz w:val="20"/>
        </w:rPr>
      </w:pPr>
      <w:r>
        <w:rPr>
          <w:rFonts w:ascii="Times New Roman" w:hAnsi="Times New Roman"/>
          <w:sz w:val="20"/>
        </w:rPr>
        <w:t xml:space="preserve">(6) Section 4.16 (but only with respect to any Person that is required to become a Subsidiary Guarantor after the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(7) Section 4.17; and </w:t>
      </w:r>
    </w:p>
    <w:p>
      <w:pPr>
        <w:pStyle w:val="TextBody"/>
        <w:bidi w:val="0"/>
        <w:spacing w:before="120" w:after="0"/>
        <w:jc w:val="left"/>
        <w:rPr>
          <w:rFonts w:ascii="Times New Roman" w:hAnsi="Times New Roman"/>
          <w:sz w:val="20"/>
        </w:rPr>
      </w:pPr>
      <w:r>
        <w:rPr>
          <w:rFonts w:ascii="Times New Roman" w:hAnsi="Times New Roman"/>
          <w:sz w:val="20"/>
        </w:rPr>
        <w:t xml:space="preserve">(8) Section 5.1(a)(3);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following the Termination Date, the Issuer may elect by written notice to the Trustee to be subject to Section 4.13 instead of Section 4.12. </w:t>
      </w:r>
    </w:p>
    <w:p>
      <w:pPr>
        <w:pStyle w:val="TextBody"/>
        <w:bidi w:val="0"/>
        <w:spacing w:before="120" w:after="0"/>
        <w:jc w:val="left"/>
        <w:rPr>
          <w:rFonts w:ascii="Times New Roman" w:hAnsi="Times New Roman"/>
          <w:sz w:val="20"/>
        </w:rPr>
      </w:pPr>
      <w:r>
        <w:rPr>
          <w:rFonts w:ascii="Times New Roman" w:hAnsi="Times New Roman"/>
          <w:sz w:val="20"/>
        </w:rPr>
        <w:t xml:space="preserve">(b) Following the Termination Date, the Board of Directors of the Issuer may not designate any of the Issuer’s Subsidiaries as Unrestricted Subsidiaries unless such designation would have complied with Section 4.7 as if Section 4.7 were in effect during such period. </w:t>
      </w:r>
    </w:p>
    <w:p>
      <w:pPr>
        <w:pStyle w:val="TextBody"/>
        <w:bidi w:val="0"/>
        <w:spacing w:before="120" w:after="0"/>
        <w:jc w:val="left"/>
        <w:rPr>
          <w:rFonts w:ascii="Times New Roman" w:hAnsi="Times New Roman"/>
          <w:sz w:val="20"/>
        </w:rPr>
      </w:pPr>
      <w:r>
        <w:rPr>
          <w:rFonts w:ascii="Times New Roman" w:hAnsi="Times New Roman"/>
          <w:sz w:val="20"/>
        </w:rPr>
        <w:t xml:space="preserve">(c) Promptly following the release from the obligations under the covenants pursuant to this Section 4.18, the Issuer will provide an Officer’s Certificate to the Trustee regarding such occurrence. The Trustee shall have no obligation to independently determine, monitor or verify if a release has occurred under or notify the Holders of any such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SUCCESSORS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Consolidations, Mergers, and Certain Sales of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Issuer shall not consolidate with or merge with or into, or convey, transfer or lease all or substantially all its assets in a single transaction or series of related transactions to, another Person, unless: </w:t>
      </w:r>
    </w:p>
    <w:p>
      <w:pPr>
        <w:pStyle w:val="TextBody"/>
        <w:bidi w:val="0"/>
        <w:spacing w:before="120" w:after="0"/>
        <w:jc w:val="left"/>
        <w:rPr>
          <w:rFonts w:ascii="Times New Roman" w:hAnsi="Times New Roman"/>
          <w:sz w:val="20"/>
        </w:rPr>
      </w:pPr>
      <w:r>
        <w:rPr>
          <w:rFonts w:ascii="Times New Roman" w:hAnsi="Times New Roman"/>
          <w:sz w:val="20"/>
        </w:rPr>
        <w:t>(1) the resulting, surviving or transferee Person (the “</w:t>
      </w:r>
      <w:r>
        <w:rPr>
          <w:rFonts w:ascii="Times New Roman" w:hAnsi="Times New Roman"/>
          <w:i/>
          <w:sz w:val="20"/>
        </w:rPr>
        <w:t>Successor Company</w:t>
      </w:r>
      <w:r>
        <w:rPr>
          <w:rFonts w:ascii="Times New Roman" w:hAnsi="Times New Roman"/>
          <w:sz w:val="20"/>
        </w:rPr>
        <w:t xml:space="preserve">”) shall be a corporation, partnership, trust or limited liability company organized and existing under the laws of the United States of America, any State thereof or the District of Columbia and the Successor Company (if not the Issuer) shall expressly assume, by supplemental indenture, executed and delivered to the Trustee, in form reasonably satisfactory to the Trustee, all the obligations of the Issuer under this Indenture and the Notes; </w:t>
      </w:r>
    </w:p>
    <w:p>
      <w:pPr>
        <w:pStyle w:val="TextBody"/>
        <w:bidi w:val="0"/>
        <w:spacing w:before="120" w:after="0"/>
        <w:jc w:val="left"/>
        <w:rPr>
          <w:rFonts w:ascii="Times New Roman" w:hAnsi="Times New Roman"/>
          <w:sz w:val="20"/>
        </w:rPr>
      </w:pPr>
      <w:r>
        <w:rPr>
          <w:rFonts w:ascii="Times New Roman" w:hAnsi="Times New Roman"/>
          <w:sz w:val="20"/>
        </w:rPr>
        <w:t xml:space="preserve">(2) immediately after giving effect to such transaction, no Default or Event of Default shall have occurred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(3) immediately after giving pro forma effect to such transaction and treating any Debt which becomes an obligation of the Issuer or a Restricted Subsidiary as a result of such transaction as having been Incurred by the Issuer or such Restricted Subsidiary at the time of the transaction, either (i) the Issuer (including any Successor Company) could Incur at least $1.00 of additional Debt (other than Permitted Debt) pursuant to Section 4.9(a), or (ii) the Consolidated Fixed Charge Coverage Ratio of the Issuer or such Successor Company is not less immediately after such transaction than it was immediately before such transaction; </w:t>
      </w:r>
    </w:p>
    <w:p>
      <w:pPr>
        <w:pStyle w:val="TextBody"/>
        <w:bidi w:val="0"/>
        <w:spacing w:before="120" w:after="0"/>
        <w:jc w:val="left"/>
        <w:rPr>
          <w:rFonts w:ascii="Times New Roman" w:hAnsi="Times New Roman"/>
          <w:sz w:val="20"/>
        </w:rPr>
      </w:pPr>
      <w:r>
        <w:rPr>
          <w:rFonts w:ascii="Times New Roman" w:hAnsi="Times New Roman"/>
          <w:sz w:val="20"/>
        </w:rPr>
        <w:t xml:space="preserve">(4) at the time of such transaction, unless the Issuer is the Successor Company, each Subsidiary Guarantor will have by supplemental indenture confirmed that its Subsidiary Guarantee shall apply to such Person’s obligations under this Indenture and the Notes; and </w:t>
      </w:r>
    </w:p>
    <w:p>
      <w:pPr>
        <w:pStyle w:val="TextBody"/>
        <w:bidi w:val="0"/>
        <w:spacing w:before="120" w:after="0"/>
        <w:jc w:val="left"/>
        <w:rPr>
          <w:rFonts w:ascii="Times New Roman" w:hAnsi="Times New Roman"/>
          <w:sz w:val="20"/>
        </w:rPr>
      </w:pPr>
      <w:r>
        <w:rPr>
          <w:rFonts w:ascii="Times New Roman" w:hAnsi="Times New Roman"/>
          <w:sz w:val="20"/>
        </w:rPr>
        <w:t xml:space="preserve">(5) the Issuer shall have delivered to the Trustee an Officer’s Certificate and an Opinion of Counsel, stating that such consolidation, merger, conveyance, transfer or lease and such supplemental indenture, if any, comply with this Indenture and that such supplemental indenture constitutes the legal, valid and binding obligation of the Successor Company, subject to customary exceptions and qualifications.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(i) any Restricted Subsidiary may merge into the Issuer or another Restricted Subsidiary, (ii) the provisions of clauses (2) and (3) above shall not apply to a merger of the Issuer with or into a Restricted Subsidiary, and (iii) this Section 5.1(a) shall not apply to any transfer of assets between or among the Issuer and/or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Section 5.1(a), the sale, lease, conveyance, assignment, transfer, or other disposition of all or substantially all of the properties and assets of one or more Subsidiaries of the Issuer, which properties and assets, if held by the Issuer instead of such Subsidiaries, would constitute all or substantially all of the properties and assets of the Issuer on a consolidated basis, shall be deemed to be the sale, lease, conveyance, assignment, transfer or other disposition of all or substantially all of the properties and assets of the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Successor Company will succeed to, and be substituted for, and may exercise every right and power of, the Issuer under this Indenture, and, except in the case of a lease of all or substantially all its assets, the Issuer will be released from the obligation to pay the principal of, and interest on, the Notes and all other obligations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any Domestic Subsidiary becomes a Subsidiary Guarantor after the Issue Date, except in circumstances under which this Indenture provides for the release of Subsidiary Guarantees pursuant to Section 10.5, no such Subsidiary Guarantor will, and the Issuer will not permit a Subsidiary Guarantor to, consolidate with or merge with or into, or convey or transfer or lease all or substantially all its assets to, another Person (other than the Issuer or another Subsidiary Guarantor), unless at the time and after giving effect thereto: </w:t>
      </w:r>
    </w:p>
    <w:p>
      <w:pPr>
        <w:pStyle w:val="TextBody"/>
        <w:bidi w:val="0"/>
        <w:spacing w:before="120" w:after="0"/>
        <w:jc w:val="left"/>
        <w:rPr>
          <w:rFonts w:ascii="Times New Roman" w:hAnsi="Times New Roman"/>
          <w:sz w:val="20"/>
        </w:rPr>
      </w:pPr>
      <w:r>
        <w:rPr>
          <w:rFonts w:ascii="Times New Roman" w:hAnsi="Times New Roman"/>
          <w:sz w:val="20"/>
        </w:rPr>
        <w:t xml:space="preserve">(1) </w:t>
      </w:r>
    </w:p>
    <w:p>
      <w:pPr>
        <w:pStyle w:val="TextBody"/>
        <w:bidi w:val="0"/>
        <w:spacing w:before="120" w:after="0"/>
        <w:jc w:val="left"/>
        <w:rPr>
          <w:rFonts w:ascii="Times New Roman" w:hAnsi="Times New Roman"/>
          <w:sz w:val="20"/>
        </w:rPr>
      </w:pPr>
      <w:r>
        <w:rPr>
          <w:rFonts w:ascii="Times New Roman" w:hAnsi="Times New Roman"/>
          <w:sz w:val="20"/>
        </w:rPr>
        <w:t>(A) the resulting, surviving or transferee Person (the “</w:t>
      </w:r>
      <w:r>
        <w:rPr>
          <w:rFonts w:ascii="Times New Roman" w:hAnsi="Times New Roman"/>
          <w:i/>
          <w:sz w:val="20"/>
        </w:rPr>
        <w:t>Successor Subsidiary Guarantor</w:t>
      </w:r>
      <w:r>
        <w:rPr>
          <w:rFonts w:ascii="Times New Roman" w:hAnsi="Times New Roman"/>
          <w:sz w:val="20"/>
        </w:rPr>
        <w:t xml:space="preserve">”) shall be a corporation, partnership, trust or limited liability company organized and existing under the laws of the United States of America, any State thereof or the District of Columbia and the Successor Subsidiary Guarantor (if not the Subsidiary Guarantor) shall expressly assume, by supplemental indenture, executed and delivered to the Trustee, in form reasonably satisfactory to the Trustee, all the obligations of the Subsidiary Guarantor under this Indenture and its Subsidiary Guarantee; </w:t>
      </w:r>
    </w:p>
    <w:p>
      <w:pPr>
        <w:pStyle w:val="TextBody"/>
        <w:bidi w:val="0"/>
        <w:spacing w:before="120" w:after="0"/>
        <w:jc w:val="left"/>
        <w:rPr>
          <w:rFonts w:ascii="Times New Roman" w:hAnsi="Times New Roman"/>
          <w:sz w:val="20"/>
        </w:rPr>
      </w:pPr>
      <w:r>
        <w:rPr>
          <w:rFonts w:ascii="Times New Roman" w:hAnsi="Times New Roman"/>
          <w:sz w:val="20"/>
        </w:rPr>
        <w:t xml:space="preserve">(B) immediately after giving effect to such transaction, no Default or Event of Default shall have occurred and be continuing; and </w:t>
      </w:r>
    </w:p>
    <w:p>
      <w:pPr>
        <w:pStyle w:val="TextBody"/>
        <w:bidi w:val="0"/>
        <w:spacing w:before="120" w:after="0"/>
        <w:jc w:val="left"/>
        <w:rPr>
          <w:rFonts w:ascii="Times New Roman" w:hAnsi="Times New Roman"/>
          <w:sz w:val="20"/>
        </w:rPr>
      </w:pPr>
      <w:r>
        <w:rPr>
          <w:rFonts w:ascii="Times New Roman" w:hAnsi="Times New Roman"/>
          <w:sz w:val="20"/>
        </w:rPr>
        <w:t xml:space="preserve">(C) the Subsidiary Guarantor shall have delivered to the Trustee an Officer’s Certificate and an Opinion of Counsel, stating that such consolidation, merger, conveyance, transfer or lease and such supplemental indenture, if any, comply with this Indenture; or </w:t>
      </w:r>
    </w:p>
    <w:p>
      <w:pPr>
        <w:pStyle w:val="TextBody"/>
        <w:bidi w:val="0"/>
        <w:spacing w:before="120" w:after="0"/>
        <w:jc w:val="left"/>
        <w:rPr>
          <w:rFonts w:ascii="Times New Roman" w:hAnsi="Times New Roman"/>
          <w:sz w:val="20"/>
        </w:rPr>
      </w:pPr>
      <w:r>
        <w:rPr>
          <w:rFonts w:ascii="Times New Roman" w:hAnsi="Times New Roman"/>
          <w:sz w:val="20"/>
        </w:rPr>
        <w:t xml:space="preserve">(2) such transaction does not violate Section 4.10.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Section 5.1(b), the sale, lease, conveyance, assignment, transfer, or other disposition of all or substantially all of the properties and assets of one or more Subsidiaries of a Subsidiary Guarantor, which properties and assets, if held by such Subsidiary Guarantor instead of such Subsidiaries, would constitute all or substantially all of the properties and assets of such Subsidiary Guarantor on a consolidated basis, shall be deemed to be the sale, lease, conveyance, assignment, transfer or other disposition of all or substantially all of the properties and assets of such Subsidiary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Successor Subsidiary Guarantor will succeed to, and be substituted for, and may exercise every right and power of, the Subsidiary Guarantor under this Indenture, but, in the case of a lease of all or substantially all its assets, the Subsidiary Guarantor will not be released from its obligations under its Subsidiary Guarantee.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Each of the following is an “</w:t>
      </w:r>
      <w:r>
        <w:rPr>
          <w:rFonts w:ascii="Times New Roman" w:hAnsi="Times New Roman"/>
          <w:i/>
          <w:sz w:val="20"/>
        </w:rPr>
        <w:t>Event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failure to pay principal of, or premium, if any, on, any Note when due and payable, at maturity, upon redemption or otherwise; </w:t>
      </w:r>
    </w:p>
    <w:p>
      <w:pPr>
        <w:pStyle w:val="TextBody"/>
        <w:bidi w:val="0"/>
        <w:spacing w:before="120" w:after="0"/>
        <w:jc w:val="left"/>
        <w:rPr>
          <w:rFonts w:ascii="Times New Roman" w:hAnsi="Times New Roman"/>
          <w:sz w:val="20"/>
        </w:rPr>
      </w:pPr>
      <w:r>
        <w:rPr>
          <w:rFonts w:ascii="Times New Roman" w:hAnsi="Times New Roman"/>
          <w:sz w:val="20"/>
        </w:rPr>
        <w:t xml:space="preserve">(2) failure to pay any interest on any Note when due and payable and such default continues for 30 days; </w:t>
      </w:r>
    </w:p>
    <w:p>
      <w:pPr>
        <w:pStyle w:val="TextBody"/>
        <w:bidi w:val="0"/>
        <w:spacing w:before="120" w:after="0"/>
        <w:jc w:val="left"/>
        <w:rPr>
          <w:rFonts w:ascii="Times New Roman" w:hAnsi="Times New Roman"/>
          <w:sz w:val="20"/>
        </w:rPr>
      </w:pPr>
      <w:r>
        <w:rPr>
          <w:rFonts w:ascii="Times New Roman" w:hAnsi="Times New Roman"/>
          <w:sz w:val="20"/>
        </w:rPr>
        <w:t xml:space="preserve">(3) default in the payment of principal, premium, if any, and accrued and unpaid interest on Notes required to be purchased pursuant to an offer to purchase under Section 4.10 and Section 4.14 when due and payable; </w:t>
      </w:r>
    </w:p>
    <w:p>
      <w:pPr>
        <w:pStyle w:val="TextBody"/>
        <w:bidi w:val="0"/>
        <w:spacing w:before="120" w:after="0"/>
        <w:jc w:val="left"/>
        <w:rPr>
          <w:rFonts w:ascii="Times New Roman" w:hAnsi="Times New Roman"/>
          <w:sz w:val="20"/>
        </w:rPr>
      </w:pPr>
      <w:r>
        <w:rPr>
          <w:rFonts w:ascii="Times New Roman" w:hAnsi="Times New Roman"/>
          <w:sz w:val="20"/>
        </w:rPr>
        <w:t xml:space="preserve">(4) failure by the Issuer or any Subsidiary Guarantor to comply with Section 5.1; </w:t>
      </w:r>
    </w:p>
    <w:p>
      <w:pPr>
        <w:pStyle w:val="TextBody"/>
        <w:bidi w:val="0"/>
        <w:spacing w:before="120" w:after="0"/>
        <w:jc w:val="left"/>
        <w:rPr>
          <w:rFonts w:ascii="Times New Roman" w:hAnsi="Times New Roman"/>
          <w:sz w:val="20"/>
        </w:rPr>
      </w:pPr>
      <w:r>
        <w:rPr>
          <w:rFonts w:ascii="Times New Roman" w:hAnsi="Times New Roman"/>
          <w:sz w:val="20"/>
        </w:rPr>
        <w:t xml:space="preserve">(5) failure to perform any other covenant or agreement of the Issuer under this Indenture or the Notes and such default continues for 60 days (or 120 days with respect to Section 4.3) after written notice to the Issuer by the Trustee or Holders of at least 25% in aggregate principal amount of outstanding Notes; </w:t>
      </w:r>
    </w:p>
    <w:p>
      <w:pPr>
        <w:pStyle w:val="TextBody"/>
        <w:bidi w:val="0"/>
        <w:spacing w:before="120" w:after="0"/>
        <w:jc w:val="left"/>
        <w:rPr>
          <w:rFonts w:ascii="Times New Roman" w:hAnsi="Times New Roman"/>
          <w:sz w:val="20"/>
        </w:rPr>
      </w:pPr>
      <w:r>
        <w:rPr>
          <w:rFonts w:ascii="Times New Roman" w:hAnsi="Times New Roman"/>
          <w:sz w:val="20"/>
        </w:rPr>
        <w:t xml:space="preserve">(6) default under the terms of any instrument evidencing or securing any Debt of the Issuer or any Restricted Subsidiary having an outstanding principal amount of $200.0 million, individually or in the aggregate, which default results in the acceleration of the payment of such Debt or constitutes the failure to pay the principal amount of such Debt when due (after giving effect to any applicable grace period provided in such Debt) and which accelerated or principal amount, individually or in the aggregate, exceeds $200.0 million and if, within 20 business days of such payment default or acceleration, such Debt has not been discharged or such payment default has not been cured or such acceleration has not been rescinded or annulled; </w:t>
      </w:r>
      <w:r>
        <w:rPr>
          <w:rFonts w:ascii="Times New Roman" w:hAnsi="Times New Roman"/>
          <w:sz w:val="20"/>
          <w:u w:val="single"/>
        </w:rPr>
        <w:t>provided</w:t>
      </w:r>
      <w:r>
        <w:rPr>
          <w:rFonts w:ascii="Times New Roman" w:hAnsi="Times New Roman"/>
          <w:sz w:val="20"/>
        </w:rPr>
        <w:t xml:space="preserve"> that in connection with any series of convertible or exchangeable securities (a) any conversion or exchange of such securities by a holder thereof into shares of Capital Stock, cash or a combination of cash and shares of Capital Stock, (b) the rights of holders of such securities to convert or exchange into shares of Capital Stock, cash or a combination of cash and shares of Capital Stock and (c) the rights of holders of such securities to require any repurchase by the Issuer of such securities in cash shall not, in itself, constitute an Event of Default under this clause (6); </w:t>
      </w:r>
    </w:p>
    <w:p>
      <w:pPr>
        <w:pStyle w:val="TextBody"/>
        <w:bidi w:val="0"/>
        <w:spacing w:before="120" w:after="0"/>
        <w:jc w:val="left"/>
        <w:rPr>
          <w:rFonts w:ascii="Times New Roman" w:hAnsi="Times New Roman"/>
          <w:sz w:val="20"/>
        </w:rPr>
      </w:pPr>
      <w:r>
        <w:rPr>
          <w:rFonts w:ascii="Times New Roman" w:hAnsi="Times New Roman"/>
          <w:sz w:val="20"/>
        </w:rPr>
        <w:t xml:space="preserve">(7) the rendering of one or more final judgments, orders or decrees (not subject to appeal) of any court or regulatory or administrative agency against the Issuer or any Restricted Subsidiary or any of their respective properties that require payments in an amount in excess of $200.0 million, either individually or in the aggregate, (exclusive of any portion of any such payment covered by insurance) which payment obligation remains undischarged or unstayed for a period of 60 days after the date on which the right to appeal has expired or been extinguished;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the entry of a decree or order by a court having jurisdiction in the premises adjudging the Issuer or a Principal Subsidiary a bankrupt or insolvent, or approving as properly filed a petition seeking reorganization, arrangement, adjustment or composition of or in respect of the Issuer or a Principal Subsidiary under a Bankruptcy Law, or appointing a receiver, liquidator, assignee, trustee, sequestrator (or other similar official) of the Issuer or a Principal Subsidiary or of any substantial part of the consolidated property of the Issuer or a Principal Subsidiary, or ordering the winding up or liquidation of the Issuer’s or a Principal Subsidiary’s affairs, and the continuance of any such decree or order unstayed and in effect for a period of 60 consecutive days; </w:t>
      </w:r>
    </w:p>
    <w:p>
      <w:pPr>
        <w:pStyle w:val="TextBody"/>
        <w:bidi w:val="0"/>
        <w:spacing w:before="120" w:after="0"/>
        <w:jc w:val="left"/>
        <w:rPr>
          <w:rFonts w:ascii="Times New Roman" w:hAnsi="Times New Roman"/>
          <w:sz w:val="20"/>
        </w:rPr>
      </w:pPr>
      <w:r>
        <w:rPr>
          <w:rFonts w:ascii="Times New Roman" w:hAnsi="Times New Roman"/>
          <w:sz w:val="20"/>
        </w:rPr>
        <w:t xml:space="preserve">(9) the institution by the Issuer or a Principal Subsidiary of proceedings to be adjudicated a bankrupt or insolvent, or the written consent by the Issuer or a Principal Subsidiary to the institution of bankruptcy or insolvency proceedings against it, or the filing by the Issuer or a Principal Subsidiary of a petition or answer or consent seeking reorganization or relief under a Bankruptcy Law, or the written consent by the Issuer or a Principal Subsidiary to the filing of any such petition or to the appointment of a receiver, liquidator, assignee, trustee, sequestrator (or other similar official) of the Issuer or a Principal Subsidiary or of any substantial part of the consolidated property of the Issuer or a Principal Subsidiary, or the making by the Issuer or a Principal Subsidiary of an assignment for the benefit of creditors, or the admission by the Issuer or a Principal Subsidiary in writing of its inability to pay its debts generally as they become due; or </w:t>
      </w:r>
    </w:p>
    <w:p>
      <w:pPr>
        <w:pStyle w:val="TextBody"/>
        <w:bidi w:val="0"/>
        <w:spacing w:before="120" w:after="0"/>
        <w:jc w:val="left"/>
        <w:rPr>
          <w:rFonts w:ascii="Times New Roman" w:hAnsi="Times New Roman"/>
          <w:sz w:val="20"/>
        </w:rPr>
      </w:pPr>
      <w:r>
        <w:rPr>
          <w:rFonts w:ascii="Times New Roman" w:hAnsi="Times New Roman"/>
          <w:sz w:val="20"/>
        </w:rPr>
        <w:t xml:space="preserve">(10) the Subsidiary Guarantee of any Subsidiary Guarantor is held by a final, non-appealable order or judgment of a court of competent jurisdiction to be unenforceable or invalid or ceases for any reason to be in full force and effect (other than in accordance with the terms of this Indenture) or any Subsidiary Guarantor or any Person acting on behalf of any Subsidiary Guarantor denies or disaffirms such Subsidiary Guarantor’s obligations under its Subsidiary Guarantee (other than by reason of a release of such Subsidiary Guarantor from its Subsidiary Guarantee in accordance with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Acceleration</w:t>
      </w:r>
      <w:r>
        <w:rPr>
          <w:rFonts w:ascii="Times New Roman" w:hAnsi="Times New Roman"/>
          <w:sz w:val="20"/>
        </w:rPr>
        <w:t>. If an Event of Default (other than an Event of Default specified in clause (8) or (9) of Section 6.1) shall occur and be continuing under this Indenture, the Trustee by written notice to the Issuer or the Holders of at least 25% in aggregate principal amount of the Notes then outstanding by written notice to the Issuer and the Trustee, may, and the Trustee at the request of such Holders by written notice to the Issuer shall (which notice shall, in each case, specify the Event of Default), declare (an “</w:t>
      </w:r>
      <w:r>
        <w:rPr>
          <w:rFonts w:ascii="Times New Roman" w:hAnsi="Times New Roman"/>
          <w:i/>
          <w:sz w:val="20"/>
        </w:rPr>
        <w:t>acceleration declaration</w:t>
      </w:r>
      <w:r>
        <w:rPr>
          <w:rFonts w:ascii="Times New Roman" w:hAnsi="Times New Roman"/>
          <w:sz w:val="20"/>
        </w:rPr>
        <w:t xml:space="preserve">”) the principal of, premium, if any, and accrued and unpaid interest, if any, on all the Notes to be due and payable. Upon such acceleration declaration, the aggregate principal of, premium, if any, on and accrued and unpaid interest, if any, on the outstanding Notes shall become due and payable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any time after an acceleration declaration pursuant to this Section 6.2 has been made and before a judgment or decree for payment of the money due has been obtained by the Trustee as hereinafter provided in this Article VI, the Holders of a majority in principal amount of the Notes then outstanding, by written notice to the Issuer and the Trustee, may rescind and annul such acceleration declaration and its consequences if: </w:t>
      </w:r>
    </w:p>
    <w:p>
      <w:pPr>
        <w:pStyle w:val="TextBody"/>
        <w:bidi w:val="0"/>
        <w:spacing w:before="120" w:after="0"/>
        <w:jc w:val="left"/>
        <w:rPr>
          <w:rFonts w:ascii="Times New Roman" w:hAnsi="Times New Roman"/>
          <w:sz w:val="20"/>
        </w:rPr>
      </w:pPr>
      <w:r>
        <w:rPr>
          <w:rFonts w:ascii="Times New Roman" w:hAnsi="Times New Roman"/>
          <w:sz w:val="20"/>
        </w:rPr>
        <w:t xml:space="preserve">(1) the Issuer has paid or deposited with the Trustee a sum sufficient to pay in U.S. dollars, (i) all overdue interest on all outstanding Notes; (ii) all unpaid principal of and premium, if any, on any outstanding Notes which has become due otherwise than by such acceleration declaration, and interest on such unpaid principal; (iii) to the extent lawful, interest on overdue interest; and (iv) all sums paid or advanced by the Trustee hereunder and the reasonable compensation, expenses, disbursements and advances of the Trustee, its agents and counsel; </w:t>
      </w:r>
    </w:p>
    <w:p>
      <w:pPr>
        <w:pStyle w:val="TextBody"/>
        <w:bidi w:val="0"/>
        <w:spacing w:before="120" w:after="0"/>
        <w:jc w:val="left"/>
        <w:rPr>
          <w:rFonts w:ascii="Times New Roman" w:hAnsi="Times New Roman"/>
          <w:sz w:val="20"/>
        </w:rPr>
      </w:pPr>
      <w:r>
        <w:rPr>
          <w:rFonts w:ascii="Times New Roman" w:hAnsi="Times New Roman"/>
          <w:sz w:val="20"/>
        </w:rPr>
        <w:t xml:space="preserve">(2) such rescission would not conflict with any judgment or decree of a court of competent jurisdiction; and </w:t>
      </w:r>
    </w:p>
    <w:p>
      <w:pPr>
        <w:pStyle w:val="TextBody"/>
        <w:bidi w:val="0"/>
        <w:spacing w:before="120" w:after="0"/>
        <w:jc w:val="left"/>
        <w:rPr>
          <w:rFonts w:ascii="Times New Roman" w:hAnsi="Times New Roman"/>
          <w:sz w:val="20"/>
        </w:rPr>
      </w:pPr>
      <w:r>
        <w:rPr>
          <w:rFonts w:ascii="Times New Roman" w:hAnsi="Times New Roman"/>
          <w:sz w:val="20"/>
        </w:rPr>
        <w:t xml:space="preserve">(3) all Events of Default other than the non-payment of amounts of principal of, premium, if any, on or interest on the Notes which have become due solely by such acceleration declaration, have been cured or waived as provided in Section 6.4.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shall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 acceleration declaration because an Event of Default described in clause (6) above occurs and is continuing, the acceleration declaration shall be automatically annulled if the default triggering such Event of Default pursuant to clause (6) shall be remedied or cured by the Issuer or a Restricted Subsidiary or waived by the holders of the relevant Debt within 20 days after the acceleration declaration with respect thereto and if (1) the annulment of the acceleration declaration would not conflict with any judgment or decree of a court of competent jurisdiction and (2) all existing Events of Default, other than nonpayment of accelerated principal, premium, if any, and interest which have become due solely by such acceleration declaration, have been cured or waived as provided in Section 6.4.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specified in clause (8) or (9) of Section 6.1 occurs and is continuing, then all unpaid principal of, premium, if any, on and accrued and unpaid interest, if any, on all of the outstanding Notes shall ipso facto become and be immediately due and payable without any declaration or other action or notice on the part of the Trustee or any Holder of the Notes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Trustee May Enforce Claims Without Possession of Notes.</w:t>
      </w:r>
      <w:r>
        <w:rPr>
          <w:rFonts w:ascii="Times New Roman" w:hAnsi="Times New Roman"/>
          <w:sz w:val="20"/>
        </w:rPr>
        <w:t xml:space="preserve"> All rights of action and claims under this Indenture or the Notes may be prosecuted and enforced by the Trustee without the possession of any of the Notes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Waiver of Past Defaults</w:t>
      </w:r>
      <w:r>
        <w:rPr>
          <w:rFonts w:ascii="Times New Roman" w:hAnsi="Times New Roman"/>
          <w:sz w:val="20"/>
        </w:rPr>
        <w:t xml:space="preserve">. Subject to Section 6.1 the Holders of not less than a majority in principal amount of then outstanding Notes may on behalf of the Holders of all the Notes waive any past Default with respect to the Notes and its consequences, except a Default: (a) in respect of the payment of the principal of, premium, if any, on, or interest on the Notes (other than any such payment that has become due because of an acceleration declaration that has been rescinded), or (b) in respect of a covenant or provision hereof which under Section 9.2 cannot be modified or amended without the consent of the Holder of each outstanding Note affected thereby. Upon any such waiver, any such Default shall cease to exist, and any Event of Default arising therefrom shall be deemed to have been cured, for every purpose of this Indenture; but no such waiver shall extend to any subsequent or other Default or Event of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Control by Majority</w:t>
      </w:r>
      <w:r>
        <w:rPr>
          <w:rFonts w:ascii="Times New Roman" w:hAnsi="Times New Roman"/>
          <w:sz w:val="20"/>
        </w:rPr>
        <w:t xml:space="preserve">. The Holders of not less than a majority in principal amount of the then outstanding Notes shall have the right to direct the time, method and place of conducting any proceeding for any remedy available to the Trustee, or exercising any trust or power conferred on the Trustee with respect to the Notes, </w:t>
      </w:r>
      <w:r>
        <w:rPr>
          <w:rFonts w:ascii="Times New Roman" w:hAnsi="Times New Roman"/>
          <w:sz w:val="20"/>
          <w:u w:val="single"/>
        </w:rPr>
        <w:t>provided</w:t>
      </w:r>
      <w:r>
        <w:rPr>
          <w:rFonts w:ascii="Times New Roman" w:hAnsi="Times New Roman"/>
          <w:sz w:val="20"/>
        </w:rPr>
        <w:t xml:space="preserve"> that in each case (a) such direction shall not be in conflict with any rule of law or with this Indenture or with the Notes; (b) the Trustee may take any other action deemed proper by the Trustee which is not inconsistent with such direction; and (c) the Trustee need not take any action which might involve it in personal liability or be unjustly prejudicial to the Holders of Notes not consenting.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Limitation on Suits</w:t>
      </w:r>
      <w:r>
        <w:rPr>
          <w:rFonts w:ascii="Times New Roman" w:hAnsi="Times New Roman"/>
          <w:sz w:val="20"/>
        </w:rPr>
        <w:t xml:space="preserve">. No Holder of a Note shall have any right to institute any proceeding, judicial or otherwise, with respect to this Indenture, or for the appointment of a receiver or trustee, or for any other remedy hereunder, unless (a) such Holder has previously given written notice to the Trustee of a continuing Event of Default with respect to the Notes; (b) the Holders of not less than 25% in principal amount of then outstanding Notes shall have made written request to the Trustee to institute proceedings in respect of such Event of Default in its own name as Trustee hereunder; (c) such Holder or Holders have offered to the Trustee reasonable indemnity against the costs, expenses and liabilities (including the fees and expenses of its counsel) to be incurred in compliance with such request; (d) the Trustee for 60 days after its receipt of such notice, request and offer of indemnity has failed to institute any such proceeding; and (e) no direction inconsistent with such written request has been given to the Trustee during such 60-day period by the Holders of a majority in principal amount of then outstanding Notes, it being understood and intended that no one or more of such Holders shall have any right in any manner whatever by virtue of, or by availing of, any provision of this Indenture or the Notes to affect, disturb or prejudice the rights of any other Holder of Notes or to obtain or to seek to obtain priority or preference over any other such Holders or to enforce any right under this Indenture, except in the manner herein provided and for the equal and ratable benefit of all Holders of Notes.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Rights of Holders of Notes to Receive Payment</w:t>
      </w:r>
      <w:r>
        <w:rPr>
          <w:rFonts w:ascii="Times New Roman" w:hAnsi="Times New Roman"/>
          <w:sz w:val="20"/>
        </w:rPr>
        <w:t xml:space="preserve">. Notwithstanding any other provision in this Indenture, the Holder of a Note shall have the right, which is absolute and unconditional, to receive payment, as provided herein (including, if applicable, Article VIII) and in the Notes, of the principal of, and premium, if any, on, and interest on, the Notes on the Stated Maturity expressed in the Notes (or, in the case of redemption, on the redemption date) and to institute suit for the enforcement of any such payment, and such rights shall not be impaired without the consent of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Collection Suit by Trustee</w:t>
      </w:r>
      <w:r>
        <w:rPr>
          <w:rFonts w:ascii="Times New Roman" w:hAnsi="Times New Roman"/>
          <w:sz w:val="20"/>
        </w:rPr>
        <w:t xml:space="preserve">. If an Event of Default specified in clauses (1) or (2) of Section 6.1 occurs and is continuing, then the Issuer will, upon demand of the Trustee, pay to the Trustee for the benefit of the Holders of Notes, the whole amount then due and payable on the Notes, for principal and premium, if any, interest, and interest on any overdue principal and premium, if any, and, to the extent lawful, on any overdue interest in accordance with the terms of this Indenture and the Notes, and, in addition thereto, such further amount as shall be sufficient to cover the costs and expenses of collection, including the reasonable compensation, expenses, disbursements and advances of the Trustee, its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If the Issuer fails to pay such amounts forthwith upon such demand, the Trustee, in its own name as trustee of an express trust, may institute a judicial proceeding for the collection of the sums so due and unpaid, may prosecute such proceeding to judgment or final decree and may enforce the same against the Issuer or any Subsidiary Guarantor and collect the moneys adjudged or decreed to be payable in the manner provided by law out of the property of the Issuer or any Subsidiary Guarantor,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Notes occurs and is continuing, the Trustee may in its discretion proceed to protect and enforce its rights and the rights of the Holders of Notes by such appropriate judicial proceedings as the Trustee shall deem most effectual to protect and enforce any such rights, whether for the specific enforcement of any covenant or agreement in this Indenture or the Notes or in aid of the exercise of any power granted herein, or to enforce any other proper remedy.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Trustee May File Proofs of Claim</w:t>
      </w:r>
      <w:r>
        <w:rPr>
          <w:rFonts w:ascii="Times New Roman" w:hAnsi="Times New Roman"/>
          <w:sz w:val="20"/>
        </w:rPr>
        <w:t xml:space="preserve">. In case of the pendency of any receivership, insolvency, liquidation, bankruptcy, reorganization, arrangement, adjustment, composition or other judicial proceeding relative to the Issuer or any Subsidiary Guarantor or the property of the Issuer or of such Subsidiary Guarantor or their creditors, the Trustee (irrespective of whether the principal of the Notes shall then be due and payable as therein expressed or by declaration or otherwise and irrespective of whether the Trustee shall have made any demand on the Issuer for the payment of overdue principal, premium, if any, or interest) shall be entitled and empowered,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to file and prove a claim for the whole amount of principal and premium, if any, and interest owing and unpaid in respect of the Notes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(b) to collect and receive any moneys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to the Trustee under Section 7.6.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Nothing in this Section 6.9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Priorities</w:t>
      </w:r>
      <w:r>
        <w:rPr>
          <w:rFonts w:ascii="Times New Roman" w:hAnsi="Times New Roman"/>
          <w:sz w:val="20"/>
        </w:rPr>
        <w:t xml:space="preserve">. Any money collected by the Trustee pursuant to this Article VI shall be applied in the following order, at the date or dates fixed by the Trustee and, in case of the distribution of such money on account of principal, premium, if any, or interest, upon presentation of the Notes, and the notation thereon of the payment if only partially paid and upon surrender thereof if fully paid: </w:t>
      </w:r>
    </w:p>
    <w:p>
      <w:pPr>
        <w:pStyle w:val="TextBody"/>
        <w:bidi w:val="0"/>
        <w:spacing w:before="120" w:after="0"/>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to the payment of all amounts due the Trustee under Section 7.6 and under this Indenture and the Notes, including payment of all reasonable compensation, expenses and liabilities incurred, and all advances made, by it and the costs and expenses of collection; </w:t>
      </w:r>
    </w:p>
    <w:p>
      <w:pPr>
        <w:pStyle w:val="TextBody"/>
        <w:bidi w:val="0"/>
        <w:spacing w:before="120" w:after="0"/>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to the payment of the amounts then due and unpaid for principal of, premium, if any, on and interest on the Notes in respect of which or for the benefit of which such money has been collected, ratably, without preference or priority of any kind, according to the amounts due and payable on the Notes for principal, premium, if any, and interest, respectively; and </w:t>
      </w:r>
    </w:p>
    <w:p>
      <w:pPr>
        <w:pStyle w:val="TextBody"/>
        <w:bidi w:val="0"/>
        <w:spacing w:before="120" w:after="0"/>
        <w:jc w:val="left"/>
        <w:rPr>
          <w:rFonts w:ascii="Times New Roman" w:hAnsi="Times New Roman"/>
          <w:sz w:val="20"/>
        </w:rPr>
      </w:pPr>
      <w:r>
        <w:rPr>
          <w:rFonts w:ascii="Times New Roman" w:hAnsi="Times New Roman"/>
          <w:i/>
          <w:sz w:val="20"/>
        </w:rPr>
        <w:t>Third</w:t>
      </w:r>
      <w:r>
        <w:rPr>
          <w:rFonts w:ascii="Times New Roman" w:hAnsi="Times New Roman"/>
          <w:sz w:val="20"/>
        </w:rPr>
        <w:t xml:space="preserve">: the balance, if any, to the Person or Persons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Restoration of Rights and Remedies</w:t>
      </w:r>
      <w:r>
        <w:rPr>
          <w:rFonts w:ascii="Times New Roman" w:hAnsi="Times New Roman"/>
          <w:sz w:val="20"/>
        </w:rPr>
        <w:t xml:space="preserve">.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Issuer, the Trustee and the Holders shall be restored severally and respectively to their former positions hereunder and thereafter all rights and remedies of the Trustee and the Holders shall continue as though no such proceeding has been instituted.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Rights and Remedies Cumulative</w:t>
      </w:r>
      <w:r>
        <w:rPr>
          <w:rFonts w:ascii="Times New Roman" w:hAnsi="Times New Roman"/>
          <w:sz w:val="20"/>
        </w:rPr>
        <w:t xml:space="preserve">. Except as otherwise provided with respect to the replacement or payment of mutilated, destroyed, lost or stolen Notes in Section 2.7 hereof,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Delay or Omission Not Waiver</w:t>
      </w:r>
      <w:r>
        <w:rPr>
          <w:rFonts w:ascii="Times New Roman" w:hAnsi="Times New Roman"/>
          <w:sz w:val="20"/>
        </w:rPr>
        <w:t xml:space="preserve">. No delay or omission of the Trustee or of any Holder of any Note to exercise any right or remedy accruing upon any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VII </w:t>
      </w:r>
    </w:p>
    <w:p>
      <w:pPr>
        <w:pStyle w:val="TextBody"/>
        <w:bidi w:val="0"/>
        <w:spacing w:before="0" w:after="0"/>
        <w:jc w:val="center"/>
        <w:rPr>
          <w:rFonts w:ascii="Times New Roman" w:hAnsi="Times New Roman"/>
          <w:sz w:val="20"/>
        </w:rPr>
      </w:pPr>
      <w:r>
        <w:rPr>
          <w:rFonts w:ascii="Times New Roman" w:hAnsi="Times New Roman"/>
          <w:sz w:val="20"/>
        </w:rPr>
        <w:t xml:space="preserve">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Duties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his or her own affairs. </w:t>
      </w:r>
    </w:p>
    <w:p>
      <w:pPr>
        <w:pStyle w:val="TextBody"/>
        <w:bidi w:val="0"/>
        <w:spacing w:before="120" w:after="0"/>
        <w:jc w:val="left"/>
        <w:rPr>
          <w:rFonts w:ascii="Times New Roman" w:hAnsi="Times New Roman"/>
          <w:sz w:val="20"/>
        </w:rPr>
      </w:pPr>
      <w:r>
        <w:rPr>
          <w:rFonts w:ascii="Times New Roman" w:hAnsi="Times New Roman"/>
          <w:sz w:val="20"/>
        </w:rPr>
        <w:t xml:space="preserve">(b) Except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(1) the duties of the Trustee shall be determined solely by the express provisions of this Indenture and no implied covenants or obligations shall be read into this Indenture against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(2) in the absence of bad faith or willful misconduct on its part, the Trustee may conclusively rely, as to the truth of the statements and the correctness of the opinions expressed therein, upon certificates or opinions furnished to the Trustee and conforming to the requirements of this Indenture (but need not confirm or investigate the accuracy of mathematical calculations or other facts stated therein); however, the Trustee shall examine the certificates and opinions furnished to it to determine whether or not they conform to the requirements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not be relieved from liabilities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(1) this Section 7.1(c) does not limit the effect of Section 7.1(b); </w:t>
      </w:r>
    </w:p>
    <w:p>
      <w:pPr>
        <w:pStyle w:val="TextBody"/>
        <w:bidi w:val="0"/>
        <w:spacing w:before="120" w:after="0"/>
        <w:jc w:val="left"/>
        <w:rPr>
          <w:rFonts w:ascii="Times New Roman" w:hAnsi="Times New Roman"/>
          <w:sz w:val="20"/>
        </w:rPr>
      </w:pPr>
      <w:r>
        <w:rPr>
          <w:rFonts w:ascii="Times New Roman" w:hAnsi="Times New Roman"/>
          <w:sz w:val="20"/>
        </w:rPr>
        <w:t xml:space="preserve">(2) the Trustee shall not be liable for any error of judgment made in good faith by a Responsible Officer of the Trustee, unless it is proved that the Trustee was negligent in ascertaining the pertinent facts; </w:t>
      </w:r>
    </w:p>
    <w:p>
      <w:pPr>
        <w:pStyle w:val="TextBody"/>
        <w:bidi w:val="0"/>
        <w:spacing w:before="120" w:after="0"/>
        <w:jc w:val="left"/>
        <w:rPr>
          <w:rFonts w:ascii="Times New Roman" w:hAnsi="Times New Roman"/>
          <w:sz w:val="20"/>
        </w:rPr>
      </w:pPr>
      <w:r>
        <w:rPr>
          <w:rFonts w:ascii="Times New Roman" w:hAnsi="Times New Roman"/>
          <w:sz w:val="20"/>
        </w:rPr>
        <w:t xml:space="preserve">(3) the Trustee shall not be liable with respect to any action it takes or omits to take in good faith in accordance with a direction received by it pursuant to Section 6.5; and </w:t>
      </w:r>
    </w:p>
    <w:p>
      <w:pPr>
        <w:pStyle w:val="TextBody"/>
        <w:bidi w:val="0"/>
        <w:spacing w:before="120" w:after="0"/>
        <w:jc w:val="left"/>
        <w:rPr>
          <w:rFonts w:ascii="Times New Roman" w:hAnsi="Times New Roman"/>
          <w:sz w:val="20"/>
        </w:rPr>
      </w:pPr>
      <w:r>
        <w:rPr>
          <w:rFonts w:ascii="Times New Roman" w:hAnsi="Times New Roman"/>
          <w:sz w:val="20"/>
        </w:rPr>
        <w:t xml:space="preserve">(4) no provision of this Indenture shall require the Trustee to expend or risk its own funds or incur any liability. </w:t>
      </w:r>
    </w:p>
    <w:p>
      <w:pPr>
        <w:pStyle w:val="TextBody"/>
        <w:bidi w:val="0"/>
        <w:spacing w:before="120" w:after="0"/>
        <w:jc w:val="left"/>
        <w:rPr>
          <w:rFonts w:ascii="Times New Roman" w:hAnsi="Times New Roman"/>
          <w:sz w:val="20"/>
        </w:rPr>
      </w:pPr>
      <w:r>
        <w:rPr>
          <w:rFonts w:ascii="Times New Roman" w:hAnsi="Times New Roman"/>
          <w:sz w:val="20"/>
        </w:rPr>
        <w:t xml:space="preserve">(d) The Trustee shall not be liable for interest on or the investment of any money received by it except as the Trustee may agree in writing with the Issuer. Money held in trust by the Trustee need not be segregated from other funds except to the extent required by law. </w:t>
      </w:r>
    </w:p>
    <w:p>
      <w:pPr>
        <w:pStyle w:val="TextBody"/>
        <w:bidi w:val="0"/>
        <w:spacing w:before="120" w:after="0"/>
        <w:jc w:val="left"/>
        <w:rPr>
          <w:rFonts w:ascii="Times New Roman" w:hAnsi="Times New Roman"/>
          <w:sz w:val="20"/>
        </w:rPr>
      </w:pPr>
      <w:r>
        <w:rPr>
          <w:rFonts w:ascii="Times New Roman" w:hAnsi="Times New Roman"/>
          <w:sz w:val="20"/>
        </w:rPr>
        <w:t xml:space="preserve">(e) Whether or not therein expressly so provided, every provision of this Indenture that in any way relates to the Trustee is subject to this Section 7.1.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Rights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absence of bad faith or willful misconduct on its part, the Trustee may conclusively rely and shall be fully protected in acting or refraining from acting on any resolution, certificate, statement, instrument, opinion, notice, report, request, direction, consent, order, bond, debenture or other document (whether in original or facsimile form or PDF transmission or in accordance with Section 11.10 hereof) believed by it to be genuine and to have been signed or presented by the proper Person. The Trustee need not investigate any fact or matter stated therein. </w:t>
      </w:r>
    </w:p>
    <w:p>
      <w:pPr>
        <w:pStyle w:val="TextBody"/>
        <w:bidi w:val="0"/>
        <w:spacing w:before="120" w:after="0"/>
        <w:jc w:val="left"/>
        <w:rPr>
          <w:rFonts w:ascii="Times New Roman" w:hAnsi="Times New Roman"/>
          <w:sz w:val="20"/>
        </w:rPr>
      </w:pPr>
      <w:r>
        <w:rPr>
          <w:rFonts w:ascii="Times New Roman" w:hAnsi="Times New Roman"/>
          <w:sz w:val="20"/>
        </w:rPr>
        <w:t xml:space="preserve">(b) Before the Trustee acts or refrains from acting, it may require an Officer’s Certificate or an Opinion of Counsel or both. The Trustee shall not be liable for any action it takes or omits to take in good faith in reliance on such Officer’s Certificate or Opinion of Counsel. Prior to taking, suffering or admitting any action, the Trustee may consult with counsel of the Trustee’s own choosing, and the Trustee shall be fully protected from liability in respect of any action taken, suffered or omitted by it hereunder in good faith and in conclusive reliance on the advice or opinion of such counsel.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act through its attorneys and agents and shall not be responsible for the misconduct or negligence of any attorney or agent appointed with due care. </w:t>
      </w:r>
    </w:p>
    <w:p>
      <w:pPr>
        <w:pStyle w:val="TextBody"/>
        <w:bidi w:val="0"/>
        <w:spacing w:before="120" w:after="0"/>
        <w:jc w:val="left"/>
        <w:rPr>
          <w:rFonts w:ascii="Times New Roman" w:hAnsi="Times New Roman"/>
          <w:sz w:val="20"/>
        </w:rPr>
      </w:pPr>
      <w:r>
        <w:rPr>
          <w:rFonts w:ascii="Times New Roman" w:hAnsi="Times New Roman"/>
          <w:sz w:val="20"/>
        </w:rPr>
        <w:t xml:space="preserve">(d) The Trustee shall not be liable for any action it takes or omits to take in good faith that it believes to be authorized or within the discretion or rights or powers conferred upon it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(e) Unless otherwise specifically provided in this Indenture, any demand, request, direction or notice from the Issuer or any Subsidiary Guarantor shall be sufficient if signed by an Officer of the Issuer or such Subsidiary Guarantor. </w:t>
      </w:r>
    </w:p>
    <w:p>
      <w:pPr>
        <w:pStyle w:val="TextBody"/>
        <w:bidi w:val="0"/>
        <w:spacing w:before="120" w:after="0"/>
        <w:jc w:val="left"/>
        <w:rPr>
          <w:rFonts w:ascii="Times New Roman" w:hAnsi="Times New Roman"/>
          <w:sz w:val="20"/>
        </w:rPr>
      </w:pPr>
      <w:r>
        <w:rPr>
          <w:rFonts w:ascii="Times New Roman" w:hAnsi="Times New Roman"/>
          <w:sz w:val="20"/>
        </w:rPr>
        <w:t xml:space="preserve">(f) The Trustee shall be under no obligation to exercise any of the rights or powers vested in it by this Indenture at the request or direction of any of the Holders unless such Holders shall have offered to the Trustee security and indemnity satisfactory to the Trustee against the costs, expenses and liabilities that might be incurred by it in compliance with such request or direction. </w:t>
      </w:r>
    </w:p>
    <w:p>
      <w:pPr>
        <w:pStyle w:val="TextBody"/>
        <w:bidi w:val="0"/>
        <w:spacing w:before="120" w:after="0"/>
        <w:jc w:val="left"/>
        <w:rPr>
          <w:rFonts w:ascii="Times New Roman" w:hAnsi="Times New Roman"/>
          <w:sz w:val="20"/>
        </w:rPr>
      </w:pPr>
      <w:r>
        <w:rPr>
          <w:rFonts w:ascii="Times New Roman" w:hAnsi="Times New Roman"/>
          <w:sz w:val="20"/>
        </w:rPr>
        <w:t xml:space="preserve">(g) The Trustee shall not be bound to make any investigation into the facts or matters stated in any resolution, certificate, statement, instrument, opinion, report, notice, request, direction, consent, order, bond, debenture, note, other evidence of indebtedness or other paper or documents, but the Trustee, in its discretion, may make such further inquiry or investigation into such facts or matters as it may see fit, and, if the Trustee shall determine to make such further inquiry or investigation, it shall be entitled to examine during normal business hours the books, records and premises of the Issuer, personally or by agent or attorney at the sole cost of the Issuer, and shall incur no liability or additional liability of any kind by reason of such inquiry or investigation.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rights, privileges, protections, immunities and benefits given to the Trustee, including, without limitation, its right to be indemnified, are extended to, and shall be enforceable by, the Trustee in each of its capacities hereunder, to the Agents and to each other agent, custodian and Person employed to act hereunder. </w:t>
      </w:r>
    </w:p>
    <w:p>
      <w:pPr>
        <w:pStyle w:val="TextBody"/>
        <w:bidi w:val="0"/>
        <w:spacing w:before="120" w:after="0"/>
        <w:jc w:val="left"/>
        <w:rPr>
          <w:rFonts w:ascii="Times New Roman" w:hAnsi="Times New Roman"/>
          <w:sz w:val="20"/>
        </w:rPr>
      </w:pPr>
      <w:r>
        <w:rPr>
          <w:rFonts w:ascii="Times New Roman" w:hAnsi="Times New Roman"/>
          <w:sz w:val="20"/>
        </w:rPr>
        <w:t xml:space="preserve">(i) The Trustee may request that the Issuer and any Subsidiary Guarantor shall deliver to the Trustee an Officer’s Certificate setting forth the names of individuals and/or titles of Officers of the Issuer and such Subsidiary Guarantor, as applicable, authorized at such time to take specified actions pursuant to this Indenture of the Issuer, the Notes and any Subsidiary Guarantees, which Officer’s Certificate may be signed by any Person authorized to sign an Officer’s Certificate, including any Person specified as so authorized in any such certificate previously delivered and not superseded. </w:t>
      </w:r>
    </w:p>
    <w:p>
      <w:pPr>
        <w:pStyle w:val="TextBody"/>
        <w:bidi w:val="0"/>
        <w:spacing w:before="120" w:after="0"/>
        <w:jc w:val="left"/>
        <w:rPr>
          <w:rFonts w:ascii="Times New Roman" w:hAnsi="Times New Roman"/>
          <w:sz w:val="20"/>
        </w:rPr>
      </w:pPr>
      <w:r>
        <w:rPr>
          <w:rFonts w:ascii="Times New Roman" w:hAnsi="Times New Roman"/>
          <w:sz w:val="20"/>
        </w:rPr>
        <w:t xml:space="preserve">(j) The Trustee shall not be deemed to have notice or be charged with knowledge of any Default or Event of Default unless a Responsible Officer of the Trustee has actual knowledge thereof with respect to Section 6.1(1), (2) or (3) or the Trustee shall have received from the Issuer or Subsidiary Guarantor or from any Holder written notice thereof at its address set forth in Section 11.1 and such notice references the Notes and this Indenture. In the absence of such notice, the Trustee may conclusively assume that no such Default or Event of Default exists. </w:t>
      </w:r>
    </w:p>
    <w:p>
      <w:pPr>
        <w:pStyle w:val="TextBody"/>
        <w:bidi w:val="0"/>
        <w:spacing w:before="120" w:after="0"/>
        <w:jc w:val="left"/>
        <w:rPr>
          <w:rFonts w:ascii="Times New Roman" w:hAnsi="Times New Roman"/>
          <w:sz w:val="20"/>
        </w:rPr>
      </w:pPr>
      <w:r>
        <w:rPr>
          <w:rFonts w:ascii="Times New Roman" w:hAnsi="Times New Roman"/>
          <w:sz w:val="20"/>
        </w:rPr>
        <w:t xml:space="preserve">(k)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w:t>
      </w:r>
    </w:p>
    <w:p>
      <w:pPr>
        <w:pStyle w:val="TextBody"/>
        <w:bidi w:val="0"/>
        <w:spacing w:before="120" w:after="0"/>
        <w:jc w:val="left"/>
        <w:rPr>
          <w:rFonts w:ascii="Times New Roman" w:hAnsi="Times New Roman"/>
          <w:sz w:val="20"/>
        </w:rPr>
      </w:pPr>
      <w:r>
        <w:rPr>
          <w:rFonts w:ascii="Times New Roman" w:hAnsi="Times New Roman"/>
          <w:sz w:val="20"/>
        </w:rPr>
        <w:t xml:space="preserve">(l) The Trustee shall not be required to give any bond or surety in respect of the performance of its powers and duties hereunder. </w:t>
      </w:r>
    </w:p>
    <w:p>
      <w:pPr>
        <w:pStyle w:val="TextBody"/>
        <w:bidi w:val="0"/>
        <w:spacing w:before="120" w:after="0"/>
        <w:jc w:val="left"/>
        <w:rPr>
          <w:rFonts w:ascii="Times New Roman" w:hAnsi="Times New Roman"/>
          <w:sz w:val="20"/>
        </w:rPr>
      </w:pPr>
      <w:r>
        <w:rPr>
          <w:rFonts w:ascii="Times New Roman" w:hAnsi="Times New Roman"/>
          <w:sz w:val="20"/>
        </w:rPr>
        <w:t xml:space="preserve">(m) No provision of this Indenture shall require the Trustee to expend or risk its own funds or otherwise incur any financial liability in the performance of any of its duties thereunder, or in the exercise of any of its rights or powers.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Individual Rights of the Trustee</w:t>
      </w:r>
      <w:r>
        <w:rPr>
          <w:rFonts w:ascii="Times New Roman" w:hAnsi="Times New Roman"/>
          <w:sz w:val="20"/>
        </w:rPr>
        <w:t xml:space="preserve">. The Trustee in its individual or any other capacity may become the owner or pledgee of Notes and may otherwise deal with the Issuer or any Affiliate of the Issuer with the same rights it would have if it were not Trustee. Any Agent may do the same with like rights and duties. However, (a) the Trustee shall comply with Section 311 of the TIA, and (b) in the event that the Trustee acquires any conflicting interest as defined in the TIA it must eliminate such conflict within 90 days or resign. The Trustee is also subject to Section 7.9.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Trustee’s Disclaimer</w:t>
      </w:r>
      <w:r>
        <w:rPr>
          <w:rFonts w:ascii="Times New Roman" w:hAnsi="Times New Roman"/>
          <w:sz w:val="20"/>
        </w:rPr>
        <w:t xml:space="preserve">. The Trustee shall not be responsible for and makes no representation as to the validity or adequacy of this Indenture, the Notes, the Offering Memorandum for the Notes or any Subsidiary Guarantee, it shall not be accountable for the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any Officer’s Certificate or Opinion of Counsel delivered to the Trustee hereunder, or any other document in connection with the sale of the Notes or pursuant to this Indenture other than the Trustee’s certificate of authentication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Notice of Defaults</w:t>
      </w:r>
      <w:r>
        <w:rPr>
          <w:rFonts w:ascii="Times New Roman" w:hAnsi="Times New Roman"/>
          <w:sz w:val="20"/>
        </w:rPr>
        <w:t xml:space="preserve">. If a Default or Event of Default occurs and is continuing and the Trustee has notice or knowledge thereof as provided in Section 7.2(j), the Trustee shall deliver to Holders a notice of the Default or Event of Default within 90 days after it occurs. Except in the case of a Default or Event of Default in payment of principal of, premium, if any, or interest on any Note, the Trustee may withhold the notice if and so long as the board of directors, the executive committee or a trust committee of directors or Responsible Officers of the Trustee in good faith determines that the withholding of such notice is in the interest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Compensation and Indemnity</w:t>
      </w:r>
      <w:r>
        <w:rPr>
          <w:rFonts w:ascii="Times New Roman" w:hAnsi="Times New Roman"/>
          <w:sz w:val="20"/>
        </w:rPr>
        <w:t xml:space="preserve">. The Issuer shall pay to the Trustee from time to time compensation for its acceptance of this Indenture and for all services rendered by it hereunder as agreed upon in writing. The Trustee’s compensation shall not be limited by any law on compensation of a trustee of an express trust. The Issuer shall reimburse the Trustee, as applicable, promptly upon request for all reasonable disbursements, advances and expenses incurred or made by it in addition to the compensation for its services. Such expenses shall include the reasonable compensation, disbursements and expenses of the Trustee’s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any Subsidiary Guarantor, jointly and severally, shall indemnify, defend, protect and hold the Trustee (which for purposes of this Section 7.6 shall include its officers, directors, employees and agents) harmless against any and all claims, damages, losses, liabilities, costs or expenses suffered or incurred by it (including, without limitation, the fees and expenses of its agents and counsel) arising out of or in connection with the acceptance or administration of its duties under this Indenture, the performance of its obligations and/or exercise of its rights hereunder, including the costs and expenses of enforcing this Indenture against the Issuer or any Subsidiary Guarantor (including this Section 7.6) and defending itself against any claim (whether asserted by the Issuer or any Holder or any other Person) or liability in connection with the exercise or performance of any of its powers or duties hereunder, except to the extent any such loss, claim, damage, liability or expense shall have been found by a court of competent jurisdiction in a non-appealable final decision to have been caused by its own gross negligence or willful misconduct. The Trustee shall notify the Issuer promptly of any claim for which it may seek indemnity. Failure by the Trustee to so notify the Issuer shall not relieve the Issuer of its obligations hereunder. The Trustee may have one separate counsel, and the necessary local counsel, if applicable, and the Issuer shall pay the reasonable fees and expenses of such counsel for the Trustee. The Issuer need not pay for any settlement made without its consent, which consent shall not be unreasonably withheld.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Issuer and any Subsidiary Guarantors under this Section 7.6 shall survive the satisfaction and discharge of this Indenture, the payment of the Notes or the resignation or removal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To secure the Issuer’s payment obligations in this Section 7.6, the Trustee shall have a Lien prior to the Notes on all money or property held or collected by the Trustee, except that held in trust to pay principal or interest, if any, on particular Notes. Such Lien shall survive the satisfaction and discharge of this Indenture, the payment of the Notes and the resignation or removal of the Trustee and any termination of this Indenture, including a termination in connection with a bankruptcy.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When the Trustee incurs expenses or renders services after an Event of Default specified in Section 6.1(7) occurs, the expenses and the compensation for the services (including the fees and expenses of its agents and counsel) are intended to constitute expenses of administration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Replacement of Trustee</w:t>
      </w:r>
      <w:r>
        <w:rPr>
          <w:rFonts w:ascii="Times New Roman" w:hAnsi="Times New Roman"/>
          <w:sz w:val="20"/>
        </w:rPr>
        <w:t xml:space="preserve">. A resignation or removal of the Trustee and appointment of a successor Trustee shall become effective only upon the successor trustee’s acceptance of appointment as provided in this Section 7.7.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resign in writing at any time and be discharged from the trust hereby created by so notifying the Issuer. The Holders of a majority in principal amount of the then outstanding Notes may remove the Trustee upon thirty days’ written notice to the Trustee and the Issuer. The Issuer may remove the Trustee if no Event of Default exists and: </w:t>
      </w:r>
    </w:p>
    <w:p>
      <w:pPr>
        <w:pStyle w:val="TextBody"/>
        <w:bidi w:val="0"/>
        <w:spacing w:before="120" w:after="0"/>
        <w:jc w:val="left"/>
        <w:rPr>
          <w:rFonts w:ascii="Times New Roman" w:hAnsi="Times New Roman"/>
          <w:sz w:val="20"/>
        </w:rPr>
      </w:pPr>
      <w:r>
        <w:rPr>
          <w:rFonts w:ascii="Times New Roman" w:hAnsi="Times New Roman"/>
          <w:sz w:val="20"/>
        </w:rPr>
        <w:t xml:space="preserve">(a) the Trustee is adjudged a bankrupt or an insolvent or an order for relief is entered with respect to the Trustee under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(b) a custodian or public officer takes charge of the Trustee or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(c) the Trustee becomes incapable of acting.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resigns or is removed or if a vacancy exists in the office of the Trustee for any reason, the Issuer shall promptly appoint a successor trustee. Within one year after the successor trustee takes office, the Holders of a majority in principal amount of the then outstanding Notes may appoint a successor trustee to replace the successor trustee appointed by the Issuer. </w:t>
      </w:r>
    </w:p>
    <w:p>
      <w:pPr>
        <w:pStyle w:val="TextBody"/>
        <w:bidi w:val="0"/>
        <w:spacing w:before="240" w:after="0"/>
        <w:jc w:val="left"/>
        <w:rPr>
          <w:rFonts w:ascii="Times New Roman" w:hAnsi="Times New Roman"/>
          <w:sz w:val="20"/>
        </w:rPr>
      </w:pPr>
      <w:r>
        <w:rPr>
          <w:rFonts w:ascii="Times New Roman" w:hAnsi="Times New Roman"/>
          <w:sz w:val="20"/>
        </w:rPr>
        <w:t xml:space="preserve">If a successor trustee does not take office within 30 days after the retiring Trustee resigns or is removed, such retiring Trustee (at the expense of the Issuer), the Issuer or the Holders of at least 10.0% in principal amount of the then outstanding Notes may petition any court of competent jurisdiction for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after written request by any Holder who has been a Holder for at least six months, fails to comply with this Section 7.7, such Holder may petition any court of competent jurisdiction for the removal of the Trustee and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the duties of the Trustee under this Indenture. The successor trustee shall mail a notice of its succession to the Holders. The retiring Trustee shall promptly transfer all property held by it as Trustee to the successor Trustee; </w:t>
      </w:r>
      <w:r>
        <w:rPr>
          <w:rFonts w:ascii="Times New Roman" w:hAnsi="Times New Roman"/>
          <w:sz w:val="20"/>
          <w:u w:val="single"/>
        </w:rPr>
        <w:t>provided</w:t>
      </w:r>
      <w:r>
        <w:rPr>
          <w:rFonts w:ascii="Times New Roman" w:hAnsi="Times New Roman"/>
          <w:sz w:val="20"/>
        </w:rPr>
        <w:t xml:space="preserve"> that all sums owing to the retiring Trustee hereunder have been paid and subject to the Lien provided for in Section 7.6. Notwithstanding replacement of the Trustee pursuant to this Section 7.7, the Issuer’s and any Subsidiary Guarantors’ obligations under Section 7.6 shall continue for the benefit of the retiring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Successor Trustee by Merger, Etc.</w:t>
      </w:r>
      <w:r>
        <w:rPr>
          <w:rFonts w:ascii="Times New Roman" w:hAnsi="Times New Roman"/>
          <w:sz w:val="20"/>
        </w:rPr>
        <w:t xml:space="preserve"> If the Trustee or any Agent consolidates, merges or converts into, or transfers all or substantially all of its corporate trust business (including this transaction) to, another corporation, the successor corporation without any further act shall be the successor Trustee or Agent,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Eligibility; Disqualification</w:t>
      </w:r>
      <w:r>
        <w:rPr>
          <w:rFonts w:ascii="Times New Roman" w:hAnsi="Times New Roman"/>
          <w:sz w:val="20"/>
        </w:rPr>
        <w:t xml:space="preserve">. There shall at all times be a Trustee hereunder that is a corporation organized and doing business under the laws of the United States or of any state thereof that is authorized under such laws to exercise corporate trustee power and that is subject to supervision or examination by federal or state authorities. Such Trustee together with its affiliates shall at all times have a combined capital surplus of at least $50.0 million as set forth in its most recent annual report of condition.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0" w:after="0"/>
        <w:jc w:val="center"/>
        <w:rPr>
          <w:rFonts w:ascii="Times New Roman" w:hAnsi="Times New Roman"/>
          <w:sz w:val="20"/>
        </w:rPr>
      </w:pPr>
      <w:r>
        <w:rPr>
          <w:rFonts w:ascii="Times New Roman" w:hAnsi="Times New Roman"/>
          <w:sz w:val="20"/>
        </w:rPr>
        <w:t xml:space="preserve">DEFEASANCE; DISCHARGE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Option to Effect Legal Defeasance or Covenant Defeasance</w:t>
      </w:r>
      <w:r>
        <w:rPr>
          <w:rFonts w:ascii="Times New Roman" w:hAnsi="Times New Roman"/>
          <w:sz w:val="20"/>
        </w:rPr>
        <w:t xml:space="preserve">. The Issuer may, by delivery of an Officer’s Certificate, at any time, elect to have either Section 8.2 or Section 8.3 applied to all outstanding Notes upon compliance with the conditions set forth below in this Article VIII.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Legal Defeasance</w:t>
      </w:r>
      <w:r>
        <w:rPr>
          <w:rFonts w:ascii="Times New Roman" w:hAnsi="Times New Roman"/>
          <w:sz w:val="20"/>
        </w:rPr>
        <w:t>. Upon the Issuer’s exercise under Section 8.1 of the option applicable to this Section 8.2, the Issuer and any Subsidiary Guarantors shall, subject to the satisfaction of the conditions set forth in Section 8.4, be deemed to have been discharged from their obligations with respect to all outstanding Notes and Subsidiary Guarantees and this Indenture on the date the conditions set forth below are satisfied (hereinafter, “</w:t>
      </w:r>
      <w:r>
        <w:rPr>
          <w:rFonts w:ascii="Times New Roman" w:hAnsi="Times New Roman"/>
          <w:i/>
          <w:sz w:val="20"/>
        </w:rPr>
        <w:t>Legal Defeasance</w:t>
      </w:r>
      <w:r>
        <w:rPr>
          <w:rFonts w:ascii="Times New Roman" w:hAnsi="Times New Roman"/>
          <w:sz w:val="20"/>
        </w:rPr>
        <w:t xml:space="preserve">”). For this purpose, Legal Defeasance means that the Issuer and any Subsidiary Guarantors shall be deemed to have paid and discharged all of the obligations with respect to this Indenture, the Notes and any Subsidiary Guarantees, which shall thereafter be deemed to be outstanding only for the purposes of Section 8.5 and the other Sections of this Indenture referred to in (a) and (b) below, and to have satisfied all of their other obligations under such Notes, Subsidiary Guarantees and this Indenture (and the Trustee, at the expense of the Issuer, shall execute proper instruments acknowledging the same), except for the following provisions which shall survive until otherwise terminated or discharged hereunder: (a) the rights of Holders of outstanding Notes to receive, solely from the trust fund described in Section 8.4(1) and as more fully set forth in such Section, payments in respect of the principal of, premium, if any, on and interest on such Notes when such payments are due; (b) the Issuer’s obligations with respect to such Notes under Section 2.2, Section 2.3, Section 2.4, Section 2.6, Section 2.7, Section 2.10 and Section 4.2; (c) the rights, powers, trusts, duties and immunities of the Trustee hereunder; and (d) the provisions of this Article VIII. Subject to compliance with this Article VIII, the Issuer may exercise its option under this Section 8.2 notwithstanding the prior exercise of its option under Section 8.3.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Covenant Defeasance</w:t>
      </w:r>
      <w:r>
        <w:rPr>
          <w:rFonts w:ascii="Times New Roman" w:hAnsi="Times New Roman"/>
          <w:sz w:val="20"/>
        </w:rPr>
        <w:t>. Upon the Issuer’s exercise under Section 8.1 above of the option applicable to this Section 8.3, the Issuer shall, subject to the satisfaction of the conditions set forth in Section 8.4 below, be released from its obligations under Sections 4.3, 4.7 through Section 4.14, Section 4.16, Section 4.17 and Section 5.1(a)(3) on and after the date the conditions set forth below are satisfied (hereinafter, “</w:t>
      </w:r>
      <w:r>
        <w:rPr>
          <w:rFonts w:ascii="Times New Roman" w:hAnsi="Times New Roman"/>
          <w:i/>
          <w:sz w:val="20"/>
        </w:rPr>
        <w:t>Covenant Defeasance</w:t>
      </w:r>
      <w:r>
        <w:rPr>
          <w:rFonts w:ascii="Times New Roman" w:hAnsi="Times New Roman"/>
          <w:sz w:val="20"/>
        </w:rPr>
        <w:t xml:space="preserve">”), and the Notes shall thereafter be deemed not outstanding for the purposes of any direction, waiver, consent or declaration or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Holders (and the consequences of any thereof) in connection with such covenants, but shall continue to be deemed outstanding for all other purposes hereunder. For this purpose, Covenant Defeasance means that, with respect to the outstanding Notes, the Issuer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6.1 or otherwise, as the case may be, but, except as specified above, the remainder of this Indenture and such Notes and any Subsidiary Guarantees shall be unaffected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Conditions to Legal or Covenant Defeasance</w:t>
      </w:r>
      <w:r>
        <w:rPr>
          <w:rFonts w:ascii="Times New Roman" w:hAnsi="Times New Roman"/>
          <w:sz w:val="20"/>
        </w:rPr>
        <w:t xml:space="preserve">. The following shall be the conditions to the application of either Section 8.2 or Section 8.3 to the outstanding Notes: </w:t>
      </w:r>
    </w:p>
    <w:p>
      <w:pPr>
        <w:pStyle w:val="TextBody"/>
        <w:bidi w:val="0"/>
        <w:spacing w:before="120" w:after="0"/>
        <w:jc w:val="left"/>
        <w:rPr>
          <w:rFonts w:ascii="Times New Roman" w:hAnsi="Times New Roman"/>
          <w:sz w:val="20"/>
        </w:rPr>
      </w:pPr>
      <w:r>
        <w:rPr>
          <w:rFonts w:ascii="Times New Roman" w:hAnsi="Times New Roman"/>
          <w:sz w:val="20"/>
        </w:rPr>
        <w:t xml:space="preserve">(1) the Issuer shall irrevocably have deposited or caused to be deposited with the Trustee as trust funds in trust for the purpose of making the following payments, specifically pledged as security for, and dedicated solely to, the benefit of the Holders of such Notes, (A) an amount in U.S. dollars, (B) U.S. Government Obligations which through the scheduled payment of principal and interest in respect thereof in accordance with their terms (without consideration of any reinvestment thereof) will provide, not later than one day before the due date of any payment of principal, premium, if any, on and interest, if any, on such Notes, money in an amount, or (C) a combination thereof, sufficient, in the opinion of a nationally recognized firm of independent public accountants expressed in a written certification thereof delivered to the Trustee, to pay and discharge, and which shall be applied by the Trustee to pay and discharge, (i) the principal of, premium, if any, on and interest on such Notes due on or prior to the Stated Maturity (or redemption date, if applicable) of such principal and premium, if any or installment or interest and (ii) and any other amounts owing under this Indenture; </w:t>
      </w:r>
      <w:r>
        <w:rPr>
          <w:rFonts w:ascii="Times New Roman" w:hAnsi="Times New Roman"/>
          <w:sz w:val="20"/>
          <w:u w:val="single"/>
        </w:rPr>
        <w:t>provided</w:t>
      </w:r>
      <w:r>
        <w:rPr>
          <w:rFonts w:ascii="Times New Roman" w:hAnsi="Times New Roman"/>
          <w:sz w:val="20"/>
        </w:rPr>
        <w:t xml:space="preserve"> that the Trustee shall have been irrevocably instructed to apply such money or the proceeds of such U.S. Government Obligations to said payments with respect to such Notes. Before such a deposit, the Issuer may give to the Trustee, in accordance with Section 3.7 hereof, a notice of its election to redeem all or any portion of such Notes at a future date in accordance with the terms of the Notes and Article III hereof, which notice shall be irrevocable. Such irrevocable redemption notice, if given, shall be given effect in applying the foregoing;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Legal Defeasance, the Issuer shall have delivered to the Trustee an Opinion of Counsel in the United States reasonably acceptable to the Trustee confirming that, subject to customary assumptions and exclusions: </w:t>
      </w:r>
    </w:p>
    <w:p>
      <w:pPr>
        <w:pStyle w:val="TextBody"/>
        <w:bidi w:val="0"/>
        <w:spacing w:before="120" w:after="0"/>
        <w:jc w:val="left"/>
        <w:rPr>
          <w:rFonts w:ascii="Times New Roman" w:hAnsi="Times New Roman"/>
          <w:sz w:val="20"/>
        </w:rPr>
      </w:pPr>
      <w:r>
        <w:rPr>
          <w:rFonts w:ascii="Times New Roman" w:hAnsi="Times New Roman"/>
          <w:sz w:val="20"/>
        </w:rPr>
        <w:t xml:space="preserve">(A) the Issuer has received from, or there has been published by, the United States Internal Revenue Service a ruling, or </w:t>
      </w:r>
    </w:p>
    <w:p>
      <w:pPr>
        <w:pStyle w:val="TextBody"/>
        <w:bidi w:val="0"/>
        <w:spacing w:before="120" w:after="0"/>
        <w:jc w:val="left"/>
        <w:rPr>
          <w:rFonts w:ascii="Times New Roman" w:hAnsi="Times New Roman"/>
          <w:sz w:val="20"/>
        </w:rPr>
      </w:pPr>
      <w:r>
        <w:rPr>
          <w:rFonts w:ascii="Times New Roman" w:hAnsi="Times New Roman"/>
          <w:sz w:val="20"/>
        </w:rPr>
        <w:t xml:space="preserve">(B) since the Issue Date, there has been a change in the applicable U.S. federal income tax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either case to the effect that, and based thereon such Opinion of Counsel shall confirm that, subject to customary assumptions and exclusions, the beneficial owners of the outstanding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Covenant Defeasance, the Issuer shall have delivered to the Trustee an Opinion of Counsel in the United States reasonably acceptable to the Trustee confirming that, subject to customary assumptions and exclusions, the beneficial owners of the outstanding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(4) no Default or Event of Default shall have occurred and be continuing on the date of such deposit or, insofar as clauses (8) and (9) of Section 6.1 are concerned, at any time during the period ending on the 91st day after the date of such deposit (it being understood that this condition shall not be deemed satisfied until the expiration of such period); </w:t>
      </w:r>
    </w:p>
    <w:p>
      <w:pPr>
        <w:pStyle w:val="TextBody"/>
        <w:bidi w:val="0"/>
        <w:spacing w:before="120" w:after="0"/>
        <w:jc w:val="left"/>
        <w:rPr>
          <w:rFonts w:ascii="Times New Roman" w:hAnsi="Times New Roman"/>
          <w:sz w:val="20"/>
        </w:rPr>
      </w:pPr>
      <w:r>
        <w:rPr>
          <w:rFonts w:ascii="Times New Roman" w:hAnsi="Times New Roman"/>
          <w:sz w:val="20"/>
        </w:rPr>
        <w:t xml:space="preserve">(5) such Legal Defeasance or Covenant Defeasance shall not result in a breach or violation of, or constitute a default under this Indenture or any other material agreement or instrument to which the Issuer or any of its Restricted Subsidiaries is a party or by which the Issuer or any of its Restricted Subsidiaries is bound; and </w:t>
      </w:r>
    </w:p>
    <w:p>
      <w:pPr>
        <w:pStyle w:val="TextBody"/>
        <w:bidi w:val="0"/>
        <w:spacing w:before="120" w:after="0"/>
        <w:jc w:val="left"/>
        <w:rPr>
          <w:rFonts w:ascii="Times New Roman" w:hAnsi="Times New Roman"/>
          <w:sz w:val="20"/>
        </w:rPr>
      </w:pPr>
      <w:r>
        <w:rPr>
          <w:rFonts w:ascii="Times New Roman" w:hAnsi="Times New Roman"/>
          <w:sz w:val="20"/>
        </w:rPr>
        <w:t xml:space="preserve">(6) the Issuer shall have delivered to the Trustee an Officer’s Certificate and an Opinion of Counsel, each stating that the applicable conditions precedent provided for in clauses (1) through (5) of this Section 8.4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Deposited Money and U.S. Government Obligations to Be Held in Trust; Other Miscellaneous Provisions</w:t>
      </w:r>
      <w:r>
        <w:rPr>
          <w:rFonts w:ascii="Times New Roman" w:hAnsi="Times New Roman"/>
          <w:sz w:val="20"/>
        </w:rPr>
        <w:t>. Subject to Section 8.6, all U.S. dollars and U.S. Government Obligations (including the proceeds thereof) deposited with the Trustee (or other qualifying trustee, collectively for purposes of this Section 8.5, the “</w:t>
      </w:r>
      <w:r>
        <w:rPr>
          <w:rFonts w:ascii="Times New Roman" w:hAnsi="Times New Roman"/>
          <w:i/>
          <w:sz w:val="20"/>
        </w:rPr>
        <w:t>Deposit Trustee</w:t>
      </w:r>
      <w:r>
        <w:rPr>
          <w:rFonts w:ascii="Times New Roman" w:hAnsi="Times New Roman"/>
          <w:sz w:val="20"/>
        </w:rPr>
        <w:t xml:space="preserve">”) pursuant to Section 8.4 or Section 8.8 in respect of the outstanding Notes shall be held in trust, shall not be invested, and shall be applied by the Deposit Trustee in accordance with the provisions of such Notes and this Indenture to the payment, either directly or through any Paying Agent (including the Issuer acting as its own Paying Agent) as the Deposit Trustee may determine, to the Holders of such Notes of all sums due and to become due thereon in respect of principal, premium, if any, and interest, if any, and all other amounts due and owing under this Indenture and the Notes but such money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pay and indemnify the Deposit Trustee against any tax, fee or other charge imposed on or assessed against the cash or U.S. Government Obligations deposited pursuant to Section 8.4 or Section 8.8 or the principal and interest received in respect thereof other than any such tax, fee or other charge which by law is for the account of the Holders of the outstanding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Anything in this Article VIII to the contrary notwithstanding, the Deposit Trustee shall deliver or pay to the Issuer from time to time upon the written request of the Issuer and be relieved of all liability with respect to any U.S. dollars or U.S. Government Obligations (or other property and any proceeds therefrom) held by it as provided in Section 8.4 or Section 8.8 which, in the opinion of a nationally recognized firm of independent public accountants expressed in a written certification thereof delivered to the Deposit Trustee (which may be the opinion delivered under Section 8.4(1)), are in excess of the amount thereof that would then be required to be deposited to effect an equivalent Legal Defeasance or Covenant Defeasance or satisfaction and discharge,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8.6. </w:t>
      </w:r>
      <w:r>
        <w:rPr>
          <w:rFonts w:ascii="Times New Roman" w:hAnsi="Times New Roman"/>
          <w:sz w:val="20"/>
          <w:u w:val="single"/>
        </w:rPr>
        <w:t>Repayment to Issuer</w:t>
      </w:r>
      <w:r>
        <w:rPr>
          <w:rFonts w:ascii="Times New Roman" w:hAnsi="Times New Roman"/>
          <w:sz w:val="20"/>
        </w:rPr>
        <w:t xml:space="preserve">. Subject to applicable escheat laws, any money deposited with the Trustee or any Paying Agent, or then held by the Issuer, in trust for the payment of the principal of, premium, if any, or interest on any Note and remaining unclaimed for two years after such principal and premium, if any, or interest has become due and payable shall be paid to the Issuer on its written request or (if then held by the Issuer) shall be discharged from such trust; and the Holder of such Note shall thereafter, as an unsecured general creditor, look only to the Issuer for payment thereof; and all liability of the Trustee or such Paying Agent with respect to such trust money, and all liability of the Issuer as trustee thereof, shall thereupon cease;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Trustee or such Paying Agent, before being required to make any such repayment, may at the expense and written request of the Issuer cause to be published once, in the New York Times and The Wall Street Journal (national edition), notice that such money remains unclaimed and that, after a date specified therein, which shall not be less than 30 days from the date of such notification or publication, any unclaimed balance of such money then remaining shall be repaid to the Issuer. </w:t>
      </w:r>
    </w:p>
    <w:p>
      <w:pPr>
        <w:pStyle w:val="TextBody"/>
        <w:bidi w:val="0"/>
        <w:spacing w:before="240" w:after="0"/>
        <w:jc w:val="left"/>
        <w:rPr>
          <w:rFonts w:ascii="Times New Roman" w:hAnsi="Times New Roman"/>
          <w:sz w:val="20"/>
        </w:rPr>
      </w:pPr>
      <w:r>
        <w:rPr>
          <w:rFonts w:ascii="Times New Roman" w:hAnsi="Times New Roman"/>
          <w:sz w:val="20"/>
        </w:rPr>
        <w:t xml:space="preserve">SECTION 8.7. </w:t>
      </w:r>
      <w:r>
        <w:rPr>
          <w:rFonts w:ascii="Times New Roman" w:hAnsi="Times New Roman"/>
          <w:sz w:val="20"/>
          <w:u w:val="single"/>
        </w:rPr>
        <w:t>Reinstatement</w:t>
      </w:r>
      <w:r>
        <w:rPr>
          <w:rFonts w:ascii="Times New Roman" w:hAnsi="Times New Roman"/>
          <w:sz w:val="20"/>
        </w:rPr>
        <w:t xml:space="preserve">. If the Trustee or Paying Agent is unable to apply any U.S. dollars or U.S. Government Obligations in accordance with Section 8.2, Section 8.3 or Section 8.8, as the case may be, by reason of any order or judgment of any court or governmental authority enjoining, restraining or otherwise prohibiting such application, then the obligations of the Issuer and any Subsidiary Guarantors under this Indenture and the Notes shall be revived and reinstated as though no deposit had occurred pursuant to Section 8.2, Section 8.3 or Section 8.8 until such time as the Trustee or Paying Agent is permitted to apply all such money in accordance with Section 8.2, Section 8.3 or Section 8.8, as the case may be;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Issuer makes any payment of principal of, premium, if any, on or interest on any Note following the reinstatement of its obligations, the Issuer shall be subrogated to the rights of the Holders of such Notes to receive such payment from the money held by the Trustee or Paying Agent. </w:t>
      </w:r>
    </w:p>
    <w:p>
      <w:pPr>
        <w:pStyle w:val="TextBody"/>
        <w:bidi w:val="0"/>
        <w:spacing w:before="240" w:after="0"/>
        <w:jc w:val="left"/>
        <w:rPr>
          <w:rFonts w:ascii="Times New Roman" w:hAnsi="Times New Roman"/>
          <w:sz w:val="20"/>
        </w:rPr>
      </w:pPr>
      <w:r>
        <w:rPr>
          <w:rFonts w:ascii="Times New Roman" w:hAnsi="Times New Roman"/>
          <w:sz w:val="20"/>
        </w:rPr>
        <w:t xml:space="preserve">SECTION 8.8. </w:t>
      </w:r>
      <w:r>
        <w:rPr>
          <w:rFonts w:ascii="Times New Roman" w:hAnsi="Times New Roman"/>
          <w:sz w:val="20"/>
          <w:u w:val="single"/>
        </w:rPr>
        <w:t>Discharge</w:t>
      </w:r>
      <w:r>
        <w:rPr>
          <w:rFonts w:ascii="Times New Roman" w:hAnsi="Times New Roman"/>
          <w:sz w:val="20"/>
        </w:rPr>
        <w:t xml:space="preserve">. This Indenture will be discharged, and will cease to be of further effect as to all outstanding Notes issued hereunder, when: </w:t>
      </w:r>
    </w:p>
    <w:p>
      <w:pPr>
        <w:pStyle w:val="TextBody"/>
        <w:bidi w:val="0"/>
        <w:spacing w:before="120" w:after="0"/>
        <w:jc w:val="left"/>
        <w:rPr>
          <w:rFonts w:ascii="Times New Roman" w:hAnsi="Times New Roman"/>
          <w:sz w:val="20"/>
        </w:rPr>
      </w:pPr>
      <w:r>
        <w:rPr>
          <w:rFonts w:ascii="Times New Roman" w:hAnsi="Times New Roman"/>
          <w:sz w:val="20"/>
        </w:rPr>
        <w:t xml:space="preserve">(1) either (a) all the Notes that have been authenticated and delivered (except lost, stolen or destroyed Notes that have been replaced or paid and Notes for whose payment money has been deposited in trust) have been delivered to the Trustee for cancellation; or (b) all Notes not theretofore delivered to the Trustee for cancellation have become due and payable by reason of the giving of a notice of redemption or otherwise, or will become due and payable within one year or are to be called for redemption within one year under arrangements satisfactory to the Trustee for the giving of notice of redemption by the Trustee in the name, and at the expense of the Issuer, and in each case, the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has irrevocably deposited or caused to be deposited with the Trustee as trust funds in trust solely for the benefit of the Holders, cash in U.S. dollars, U.S. Government Obligations or a combination thereof in such amounts as will be sufficient to pay and discharge the entire Debt on such Notes not theretofore delivered to the Trustee for cancellation, for principal, premium, if any, and accrued interest to, but excluding, the date of maturity or redemption,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(2) the Issuer or any Subsidiary Guarantor has paid or caused to be paid all sums payable by the Issuer under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(3) the Issuer shall have delivered to the Trustee an Officer’s Certificate and an Opinion of Counsel (which Opinion of Counsel may be subject to customary assumptions and exclusions), each stating that all conditions precedent to the satisfaction and discharge of this Indenture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After the Notes are no longer outstanding, the Issuer’s and the Subsidiary Guarantors’ obligations in Section 7.6, Section 8.5 and Section 8.7 shall survive any discharge pursuant to this Section 8.8. </w:t>
      </w:r>
    </w:p>
    <w:p>
      <w:pPr>
        <w:pStyle w:val="TextBody"/>
        <w:bidi w:val="0"/>
        <w:spacing w:before="240" w:after="0"/>
        <w:jc w:val="left"/>
        <w:rPr>
          <w:rFonts w:ascii="Times New Roman" w:hAnsi="Times New Roman"/>
          <w:sz w:val="20"/>
        </w:rPr>
      </w:pPr>
      <w:r>
        <w:rPr>
          <w:rFonts w:ascii="Times New Roman" w:hAnsi="Times New Roman"/>
          <w:sz w:val="20"/>
        </w:rPr>
        <w:t xml:space="preserve">After such delivery or irrevocable deposit and receipt of the Officer’s Certificate and Opinion of Counsel, the Trustee, upon written request, shall acknowledge in writing the discharge of the Issuer’s obligations under the Notes and this Indenture except for those surviving obligations specified above.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0" w:after="0"/>
        <w:jc w:val="center"/>
        <w:rPr>
          <w:rFonts w:ascii="Times New Roman" w:hAnsi="Times New Roman"/>
          <w:sz w:val="20"/>
        </w:rPr>
      </w:pPr>
      <w:r>
        <w:rPr>
          <w:rFonts w:ascii="Times New Roman" w:hAnsi="Times New Roman"/>
          <w:sz w:val="20"/>
        </w:rPr>
        <w:t xml:space="preserve">AMENDMENT, SUPPLEMENT AND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Without Consent of Holders of the Notes</w:t>
      </w:r>
      <w:r>
        <w:rPr>
          <w:rFonts w:ascii="Times New Roman" w:hAnsi="Times New Roman"/>
          <w:sz w:val="20"/>
        </w:rPr>
        <w:t xml:space="preserve">. Notwithstanding Section 9.2, without the consent of any Holders, the Issuer, any Subsidiary Guarantors and the Trustee, at any time and from time to time, may amend or supplement this Indenture, any Subsidiary Guarantees or the Notes issued hereunder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(1) to evidence the succession of another Person to the Issuer or any Subsidiary Guarantor under this Indenture, the Notes or the applicable Subsidiary Guarantee, and the assumption by any such successor of the covenants of the Issuer or such Subsidiary Guarantor under this Indenture, the Notes and such Subsidiary Guarantee in accordance with Section 5.1; </w:t>
      </w:r>
    </w:p>
    <w:p>
      <w:pPr>
        <w:pStyle w:val="TextBody"/>
        <w:bidi w:val="0"/>
        <w:spacing w:before="120" w:after="0"/>
        <w:jc w:val="left"/>
        <w:rPr>
          <w:rFonts w:ascii="Times New Roman" w:hAnsi="Times New Roman"/>
          <w:sz w:val="20"/>
        </w:rPr>
      </w:pPr>
      <w:r>
        <w:rPr>
          <w:rFonts w:ascii="Times New Roman" w:hAnsi="Times New Roman"/>
          <w:sz w:val="20"/>
        </w:rPr>
        <w:t xml:space="preserve">(2) to add to the covenants of the Issuer or any Subsidiary Guarantor for the benefit of the Holders of the Notes or to surrender any right or power conferred upon the Issuer or any Subsidiary Guarantor, as applicable, in this Indenture, in the Notes or in any Subsidiary Guarantee; </w:t>
      </w:r>
    </w:p>
    <w:p>
      <w:pPr>
        <w:pStyle w:val="TextBody"/>
        <w:bidi w:val="0"/>
        <w:spacing w:before="120" w:after="0"/>
        <w:jc w:val="left"/>
        <w:rPr>
          <w:rFonts w:ascii="Times New Roman" w:hAnsi="Times New Roman"/>
          <w:sz w:val="20"/>
        </w:rPr>
      </w:pPr>
      <w:r>
        <w:rPr>
          <w:rFonts w:ascii="Times New Roman" w:hAnsi="Times New Roman"/>
          <w:sz w:val="20"/>
        </w:rPr>
        <w:t xml:space="preserve">(3) adding additional Events of Default for the benefit of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to cure any ambiguity, or to correct or supplement any provision in this Indenture or in any supplemental indenture, the Notes or any Subsidiary Guarantee which may be defective or inconsistent with any other provision in this Indenture, the Notes or any Subsidiary Guarantee; </w:t>
      </w:r>
    </w:p>
    <w:p>
      <w:pPr>
        <w:pStyle w:val="TextBody"/>
        <w:bidi w:val="0"/>
        <w:spacing w:before="120" w:after="0"/>
        <w:jc w:val="left"/>
        <w:rPr>
          <w:rFonts w:ascii="Times New Roman" w:hAnsi="Times New Roman"/>
          <w:sz w:val="20"/>
        </w:rPr>
      </w:pPr>
      <w:r>
        <w:rPr>
          <w:rFonts w:ascii="Times New Roman" w:hAnsi="Times New Roman"/>
          <w:sz w:val="20"/>
        </w:rPr>
        <w:t xml:space="preserve">(5) securing the Notes; </w:t>
      </w:r>
    </w:p>
    <w:p>
      <w:pPr>
        <w:pStyle w:val="TextBody"/>
        <w:bidi w:val="0"/>
        <w:spacing w:before="120" w:after="0"/>
        <w:jc w:val="left"/>
        <w:rPr>
          <w:rFonts w:ascii="Times New Roman" w:hAnsi="Times New Roman"/>
          <w:sz w:val="20"/>
        </w:rPr>
      </w:pPr>
      <w:r>
        <w:rPr>
          <w:rFonts w:ascii="Times New Roman" w:hAnsi="Times New Roman"/>
          <w:sz w:val="20"/>
        </w:rPr>
        <w:t xml:space="preserve">(6) evidencing and providing for the acceptance of appointment by a successor Trustee; </w:t>
      </w:r>
    </w:p>
    <w:p>
      <w:pPr>
        <w:pStyle w:val="TextBody"/>
        <w:bidi w:val="0"/>
        <w:spacing w:before="120" w:after="0"/>
        <w:jc w:val="left"/>
        <w:rPr>
          <w:rFonts w:ascii="Times New Roman" w:hAnsi="Times New Roman"/>
          <w:sz w:val="20"/>
        </w:rPr>
      </w:pPr>
      <w:r>
        <w:rPr>
          <w:rFonts w:ascii="Times New Roman" w:hAnsi="Times New Roman"/>
          <w:sz w:val="20"/>
        </w:rPr>
        <w:t xml:space="preserve">(7) making other provisions that do not adversely affect the interests of the Holders in any material respect; </w:t>
      </w:r>
    </w:p>
    <w:p>
      <w:pPr>
        <w:pStyle w:val="TextBody"/>
        <w:bidi w:val="0"/>
        <w:spacing w:before="120" w:after="0"/>
        <w:jc w:val="left"/>
        <w:rPr>
          <w:rFonts w:ascii="Times New Roman" w:hAnsi="Times New Roman"/>
          <w:sz w:val="20"/>
        </w:rPr>
      </w:pPr>
      <w:r>
        <w:rPr>
          <w:rFonts w:ascii="Times New Roman" w:hAnsi="Times New Roman"/>
          <w:sz w:val="20"/>
        </w:rPr>
        <w:t xml:space="preserve">(8) to add a Subsidiary Guarantor under this Indenture or otherwise provide a Guarantee of the Notes; </w:t>
      </w:r>
    </w:p>
    <w:p>
      <w:pPr>
        <w:pStyle w:val="TextBody"/>
        <w:bidi w:val="0"/>
        <w:spacing w:before="120" w:after="0"/>
        <w:jc w:val="left"/>
        <w:rPr>
          <w:rFonts w:ascii="Times New Roman" w:hAnsi="Times New Roman"/>
          <w:sz w:val="20"/>
        </w:rPr>
      </w:pPr>
      <w:r>
        <w:rPr>
          <w:rFonts w:ascii="Times New Roman" w:hAnsi="Times New Roman"/>
          <w:sz w:val="20"/>
        </w:rPr>
        <w:t xml:space="preserve">(9) to conform the text of this Indenture, the Notes or any Subsidiary Guarantees to any provision of the “Description of the notes” section of the Offering Memorandum to the extent such provision was intended to be a recitation of a provision of this Indenture, as confirmed in an Officer’s Certificate delivered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(10) to make any change that would provide any additional rights or benefits to the Holders of the Notes; </w:t>
      </w:r>
    </w:p>
    <w:p>
      <w:pPr>
        <w:pStyle w:val="TextBody"/>
        <w:bidi w:val="0"/>
        <w:spacing w:before="120" w:after="0"/>
        <w:jc w:val="left"/>
        <w:rPr>
          <w:rFonts w:ascii="Times New Roman" w:hAnsi="Times New Roman"/>
          <w:sz w:val="20"/>
        </w:rPr>
      </w:pPr>
      <w:r>
        <w:rPr>
          <w:rFonts w:ascii="Times New Roman" w:hAnsi="Times New Roman"/>
          <w:sz w:val="20"/>
        </w:rPr>
        <w:t xml:space="preserve">(11) to comply with the requirements of the SEC in order to effect or maintain the qualification of this Indenture under the TIA; </w:t>
      </w:r>
    </w:p>
    <w:p>
      <w:pPr>
        <w:pStyle w:val="TextBody"/>
        <w:bidi w:val="0"/>
        <w:spacing w:before="120" w:after="0"/>
        <w:jc w:val="left"/>
        <w:rPr>
          <w:rFonts w:ascii="Times New Roman" w:hAnsi="Times New Roman"/>
          <w:sz w:val="20"/>
        </w:rPr>
      </w:pPr>
      <w:r>
        <w:rPr>
          <w:rFonts w:ascii="Times New Roman" w:hAnsi="Times New Roman"/>
          <w:sz w:val="20"/>
        </w:rPr>
        <w:t xml:space="preserve">(12) to release a Subsidiary Guarantor from its obligations under its Subsidiary Guarantee or this Indenture, in each case, in accordance with the provisions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(13) to provide for the issuance of Additional Notes under this Indenture in accordance with the terms and subject to the limitations set forth in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(14) to comply with the rules of any applicable Depositary; or </w:t>
      </w:r>
    </w:p>
    <w:p>
      <w:pPr>
        <w:pStyle w:val="TextBody"/>
        <w:bidi w:val="0"/>
        <w:spacing w:before="120" w:after="0"/>
        <w:jc w:val="left"/>
        <w:rPr>
          <w:rFonts w:ascii="Times New Roman" w:hAnsi="Times New Roman"/>
          <w:sz w:val="20"/>
        </w:rPr>
      </w:pPr>
      <w:r>
        <w:rPr>
          <w:rFonts w:ascii="Times New Roman" w:hAnsi="Times New Roman"/>
          <w:sz w:val="20"/>
        </w:rPr>
        <w:t xml:space="preserve">(15) to make any amendment to the provisions of this Indenture relating to the transfer and legending of notes as permitted by this Indenture, including, without limitation, to facilitate the issuance and administration of the Notes or, if incurred in compliance with this Indenture, Additional Notes;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compliance with this Indenture as so amended would not result in Notes being transferred in violation of the Securities Act or any applicable securities law and (B) such amendment does not materially and adversely affect the rights of Holders to transfer Notes. </w:t>
      </w:r>
    </w:p>
    <w:p>
      <w:pPr>
        <w:pStyle w:val="TextBody"/>
        <w:bidi w:val="0"/>
        <w:spacing w:before="240" w:after="0"/>
        <w:jc w:val="left"/>
        <w:rPr>
          <w:rFonts w:ascii="Times New Roman" w:hAnsi="Times New Roman"/>
          <w:sz w:val="20"/>
        </w:rPr>
      </w:pPr>
      <w:r>
        <w:rPr>
          <w:rFonts w:ascii="Times New Roman" w:hAnsi="Times New Roman"/>
          <w:sz w:val="20"/>
        </w:rPr>
        <w:t xml:space="preserve">After an amendment under this Indenture becomes effective, the Issuer shall deliver to Holders of the Notes a notice briefly describing such amendment. However, the failure to give such notice to all Holders, or any defect therein, will not impair or affect the validity of the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With Consent of Holders of Notes</w:t>
      </w:r>
      <w:r>
        <w:rPr>
          <w:rFonts w:ascii="Times New Roman" w:hAnsi="Times New Roman"/>
          <w:sz w:val="20"/>
        </w:rPr>
        <w:t xml:space="preserve">. With the consent of the Holders of not less than a majority in aggregate principal amount of the Notes then outstanding (including, without limitation, consents obtained in connection with a purchase of, or tender offer or exchange offer for, the Notes), the Issuer, any Subsidiary Guarantors and the Trustee may amend or supplement this Indenture, the Notes or any Subsidiary Guarantees or waive any existing Default or Event of Default or compliance with any provision of this Indenture or the Notes;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amendment, supplement or waiver shall, without the consent of the Holder of each outstanding Note affected thereby (including, without limitation, consents obtained in connection with a purchase of, or tender offer or exchange offer for, the Notes): </w:t>
      </w:r>
    </w:p>
    <w:p>
      <w:pPr>
        <w:pStyle w:val="TextBody"/>
        <w:bidi w:val="0"/>
        <w:spacing w:before="120" w:after="0"/>
        <w:jc w:val="left"/>
        <w:rPr>
          <w:rFonts w:ascii="Times New Roman" w:hAnsi="Times New Roman"/>
          <w:sz w:val="20"/>
        </w:rPr>
      </w:pPr>
      <w:r>
        <w:rPr>
          <w:rFonts w:ascii="Times New Roman" w:hAnsi="Times New Roman"/>
          <w:sz w:val="20"/>
        </w:rPr>
        <w:t xml:space="preserve">(1) change the Stated Maturity of the principal of, or any installment of or interest on, any Notes; </w:t>
      </w:r>
    </w:p>
    <w:p>
      <w:pPr>
        <w:pStyle w:val="TextBody"/>
        <w:bidi w:val="0"/>
        <w:spacing w:before="120" w:after="0"/>
        <w:jc w:val="left"/>
        <w:rPr>
          <w:rFonts w:ascii="Times New Roman" w:hAnsi="Times New Roman"/>
          <w:sz w:val="20"/>
        </w:rPr>
      </w:pPr>
      <w:r>
        <w:rPr>
          <w:rFonts w:ascii="Times New Roman" w:hAnsi="Times New Roman"/>
          <w:sz w:val="20"/>
        </w:rPr>
        <w:t xml:space="preserve">(2) reduce the principal of, premium, if any, or interest on, any Notes; </w:t>
      </w:r>
    </w:p>
    <w:p>
      <w:pPr>
        <w:pStyle w:val="TextBody"/>
        <w:bidi w:val="0"/>
        <w:spacing w:before="120" w:after="0"/>
        <w:jc w:val="left"/>
        <w:rPr>
          <w:rFonts w:ascii="Times New Roman" w:hAnsi="Times New Roman"/>
          <w:sz w:val="20"/>
        </w:rPr>
      </w:pPr>
      <w:r>
        <w:rPr>
          <w:rFonts w:ascii="Times New Roman" w:hAnsi="Times New Roman"/>
          <w:sz w:val="20"/>
        </w:rPr>
        <w:t xml:space="preserve">(3) reduce the amount of the principal of any original issue discount security or indexed security that would be due and payable upon acceleration of the maturity of the Notes; </w:t>
      </w:r>
    </w:p>
    <w:p>
      <w:pPr>
        <w:pStyle w:val="TextBody"/>
        <w:bidi w:val="0"/>
        <w:spacing w:before="120" w:after="0"/>
        <w:jc w:val="left"/>
        <w:rPr>
          <w:rFonts w:ascii="Times New Roman" w:hAnsi="Times New Roman"/>
          <w:sz w:val="20"/>
        </w:rPr>
      </w:pPr>
      <w:r>
        <w:rPr>
          <w:rFonts w:ascii="Times New Roman" w:hAnsi="Times New Roman"/>
          <w:sz w:val="20"/>
        </w:rPr>
        <w:t xml:space="preserve">(4) amend any provisions relating to the redemption of the Notes (other than the notice provisions) to reduce the premium payable or change the dates on which the Notes may be redeemed, it being understood that, for the avoidance of doubt, the provisions described under Section 4.10 and Section 4.14 shall not be covered by this clause (4); </w:t>
      </w:r>
    </w:p>
    <w:p>
      <w:pPr>
        <w:pStyle w:val="TextBody"/>
        <w:bidi w:val="0"/>
        <w:spacing w:before="120" w:after="0"/>
        <w:jc w:val="left"/>
        <w:rPr>
          <w:rFonts w:ascii="Times New Roman" w:hAnsi="Times New Roman"/>
          <w:sz w:val="20"/>
        </w:rPr>
      </w:pPr>
      <w:r>
        <w:rPr>
          <w:rFonts w:ascii="Times New Roman" w:hAnsi="Times New Roman"/>
          <w:sz w:val="20"/>
        </w:rPr>
        <w:t xml:space="preserve">(5) change any place of payment where, or the currency, currencies or currency unit or units in which the Notes or any premium or interest thereon is payable; </w:t>
      </w:r>
    </w:p>
    <w:p>
      <w:pPr>
        <w:pStyle w:val="TextBody"/>
        <w:bidi w:val="0"/>
        <w:spacing w:before="120" w:after="0"/>
        <w:jc w:val="left"/>
        <w:rPr>
          <w:rFonts w:ascii="Times New Roman" w:hAnsi="Times New Roman"/>
          <w:sz w:val="20"/>
        </w:rPr>
      </w:pPr>
      <w:r>
        <w:rPr>
          <w:rFonts w:ascii="Times New Roman" w:hAnsi="Times New Roman"/>
          <w:sz w:val="20"/>
        </w:rPr>
        <w:t xml:space="preserve">(6) impair the right to institute suit for the enforcement of any payment on or after the Stated Maturity of the Notes or, in the case of redemption, on or after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(7) affect adversely the right of repayment at the option of the Holder of any Notes; </w:t>
      </w:r>
    </w:p>
    <w:p>
      <w:pPr>
        <w:pStyle w:val="TextBody"/>
        <w:bidi w:val="0"/>
        <w:spacing w:before="120" w:after="0"/>
        <w:jc w:val="left"/>
        <w:rPr>
          <w:rFonts w:ascii="Times New Roman" w:hAnsi="Times New Roman"/>
          <w:sz w:val="20"/>
        </w:rPr>
      </w:pPr>
      <w:r>
        <w:rPr>
          <w:rFonts w:ascii="Times New Roman" w:hAnsi="Times New Roman"/>
          <w:sz w:val="20"/>
        </w:rPr>
        <w:t xml:space="preserve">(8) reduce the percentage in principal amount of the outstanding Notes, the consent of whose Holders is required for a supplemental indenture, or the consent of whose Holders is required for any waiver of compliance with various provisions of this Indenture or various defaults hereunder and their consequences provided for hereunder; </w:t>
      </w:r>
    </w:p>
    <w:p>
      <w:pPr>
        <w:pStyle w:val="TextBody"/>
        <w:bidi w:val="0"/>
        <w:spacing w:before="120" w:after="0"/>
        <w:jc w:val="left"/>
        <w:rPr>
          <w:rFonts w:ascii="Times New Roman" w:hAnsi="Times New Roman"/>
          <w:sz w:val="20"/>
        </w:rPr>
      </w:pPr>
      <w:r>
        <w:rPr>
          <w:rFonts w:ascii="Times New Roman" w:hAnsi="Times New Roman"/>
          <w:sz w:val="20"/>
        </w:rPr>
        <w:t xml:space="preserve">(9) modify any Subsidiary Guarantee in any manner adverse to the Holders, except in accordance with this Indenture; or </w:t>
      </w:r>
    </w:p>
    <w:p>
      <w:pPr>
        <w:pStyle w:val="TextBody"/>
        <w:bidi w:val="0"/>
        <w:spacing w:before="120" w:after="0"/>
        <w:jc w:val="left"/>
        <w:rPr>
          <w:rFonts w:ascii="Times New Roman" w:hAnsi="Times New Roman"/>
          <w:sz w:val="20"/>
        </w:rPr>
      </w:pPr>
      <w:r>
        <w:rPr>
          <w:rFonts w:ascii="Times New Roman" w:hAnsi="Times New Roman"/>
          <w:sz w:val="20"/>
        </w:rPr>
        <w:t xml:space="preserve">(10) modify any of the foregoing described provisions in this Section 9.2.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Holders under this Section 9.2 to approve the particular form of any proposed amendment or waiver, but it shall be sufficient if such consent approves the substance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Revocation and Effect of Consents</w:t>
      </w:r>
      <w:r>
        <w:rPr>
          <w:rFonts w:ascii="Times New Roman" w:hAnsi="Times New Roman"/>
          <w:sz w:val="20"/>
        </w:rPr>
        <w:t xml:space="preserve">. Until an amendment, supplement or waiver becomes effective, a consent to it by a Holder of a Note is a continuing consent by the Holder and every subsequent Holder of that Note or portion of the Note that evidences the same debt as the consenting Holder’s Note, even if notation of the consent is not made on the Note. However, any such Holder or subsequent Holder may revoke the consent as to its Note if the Trustee receives written notice of revocation before the date the waiver, supplement or amendment becomes effective. When an amendment, supplement or waiver becomes effective in accordance with its terms, it thereafter binds every Holder. </w:t>
      </w:r>
    </w:p>
    <w:p>
      <w:pPr>
        <w:pStyle w:val="TextBody"/>
        <w:bidi w:val="0"/>
        <w:spacing w:before="240" w:after="0"/>
        <w:jc w:val="left"/>
        <w:rPr>
          <w:rFonts w:ascii="Times New Roman" w:hAnsi="Times New Roman"/>
          <w:sz w:val="20"/>
        </w:rPr>
      </w:pPr>
      <w:r>
        <w:rPr>
          <w:rFonts w:ascii="Times New Roman" w:hAnsi="Times New Roman"/>
          <w:sz w:val="20"/>
        </w:rPr>
        <w:t xml:space="preserve">The Issuer may, but shall not be obligated to, fix a record date for determining which Holders consent to such amendment, supplement or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Notation on or Exchange of Notes</w:t>
      </w:r>
      <w:r>
        <w:rPr>
          <w:rFonts w:ascii="Times New Roman" w:hAnsi="Times New Roman"/>
          <w:sz w:val="20"/>
        </w:rPr>
        <w:t xml:space="preserve">. The Trustee may place an appropriate notation, provided by the Issuer in writing, about an amendment, supplement or waiver on any Note thereafter authenticated. The Issuer in exchange for all Notes may issue and the Trustee shall authenticate new Notes that reflect the amendment, supplement or waiver. </w:t>
      </w:r>
    </w:p>
    <w:p>
      <w:pPr>
        <w:pStyle w:val="TextBody"/>
        <w:bidi w:val="0"/>
        <w:spacing w:before="240" w:after="0"/>
        <w:jc w:val="left"/>
        <w:rPr>
          <w:rFonts w:ascii="Times New Roman" w:hAnsi="Times New Roman"/>
          <w:sz w:val="20"/>
        </w:rPr>
      </w:pPr>
      <w:r>
        <w:rPr>
          <w:rFonts w:ascii="Times New Roman" w:hAnsi="Times New Roman"/>
          <w:sz w:val="20"/>
        </w:rPr>
        <w:t xml:space="preserve">Failure to make the appropriate notation or issue a new Note shall not affect the validity and effect of such amendment, supplement or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Trustee to Sign Amendments, Etc.</w:t>
      </w:r>
      <w:r>
        <w:rPr>
          <w:rFonts w:ascii="Times New Roman" w:hAnsi="Times New Roman"/>
          <w:sz w:val="20"/>
        </w:rPr>
        <w:t xml:space="preserve"> The Trustee shall sign any amendment, supplement or waiver authorized pursuant to this Article IX if the amendment, supplement or waiver does not adversely affect the rights, duties, liabilities or immunities of the Trustee. In executing any amendment, supplement or waiver, the Trustee shall be entitled to receive and (subject to Section 7.1) shall be fully protected in relying upon an Officer’s Certificate and an Opinion of Counsel stating that the execution of such amendment, supplement or waiver is authorized or permitted by this Indenture, that all conditions precedent thereto have been met or waived and that such amendment, supplement or waiver constitutes the legal, valid and binding obligation of the Issuer and any Subsidiary Guarantor party thereto, enforceable against them in accordance with its terms, subject to the customary exceptions and qualifications. </w:t>
      </w:r>
    </w:p>
    <w:p>
      <w:pPr>
        <w:pStyle w:val="TextBody"/>
        <w:bidi w:val="0"/>
        <w:spacing w:before="480" w:after="0"/>
        <w:jc w:val="center"/>
        <w:rPr>
          <w:rFonts w:ascii="Times New Roman" w:hAnsi="Times New Roman"/>
          <w:sz w:val="20"/>
        </w:rPr>
      </w:pPr>
      <w:r>
        <w:rPr>
          <w:rFonts w:ascii="Times New Roman" w:hAnsi="Times New Roman"/>
          <w:sz w:val="20"/>
        </w:rPr>
        <w:t xml:space="preserve">ARTICLE X </w:t>
      </w:r>
    </w:p>
    <w:p>
      <w:pPr>
        <w:pStyle w:val="TextBody"/>
        <w:bidi w:val="0"/>
        <w:spacing w:before="0" w:after="0"/>
        <w:jc w:val="center"/>
        <w:rPr>
          <w:rFonts w:ascii="Times New Roman" w:hAnsi="Times New Roman"/>
          <w:sz w:val="20"/>
        </w:rPr>
      </w:pPr>
      <w:r>
        <w:rPr>
          <w:rFonts w:ascii="Times New Roman" w:hAnsi="Times New Roman"/>
          <w:sz w:val="20"/>
        </w:rPr>
        <w:t xml:space="preserve">SUBSIDIARY GUARANTEES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Subsidiary Guarantees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Subsidiary Guarantor, if any, hereby jointly and severally, fully and unconditionally guarantees the Notes and obligations of the Issuer hereunder and thereunder, and guarantees to each Holder of a Note authenticated and delivered by the Trustee and to the Trustee, that: (i) the principal of and premium, if any, and interest on the Notes shall be paid in full when due, whether at Stated Maturity, by acceleration, call for redemption or otherwise, together with interest on the overdue principal, if any, and interest on any overdue interest, to the extent lawful, and all other obligations of the Issuer to the Holders or the Trustee under this Indenture or the Notes shall be paid in full or performed, all in accordance with the terms hereof and thereof; and (ii) in case of any extension of time of payment or renewal of any Notes or of any such other obligations, the same shall be paid in full when due or performed in accordance with the terms of the extension or renewal, whether at Stated Maturity, by acceleration or otherwise. Each of the Subsidiary Guarantees, if any, shall be a guarantee of payment and not of collection.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Subsidiary Guarantor, if any, hereby agrees that its obligations hereunder shall be unconditional, irrespective of the validity, regularity or enforceability of the Notes or this Indenture, the absence of any action to enforce the same, any waiver or consent by any Holder with respect to any provisions hereof or thereof, the recovery of any judgment against the Issuer, any action to enforce the same or any other circumstance which might otherwise constitute a legal or equitable discharge or defense of a Guarantor. </w:t>
      </w:r>
    </w:p>
    <w:p>
      <w:pPr>
        <w:pStyle w:val="TextBody"/>
        <w:bidi w:val="0"/>
        <w:spacing w:before="120" w:after="0"/>
        <w:jc w:val="left"/>
        <w:rPr>
          <w:rFonts w:ascii="Times New Roman" w:hAnsi="Times New Roman"/>
          <w:sz w:val="20"/>
        </w:rPr>
      </w:pPr>
      <w:r>
        <w:rPr>
          <w:rFonts w:ascii="Times New Roman" w:hAnsi="Times New Roman"/>
          <w:sz w:val="20"/>
        </w:rPr>
        <w:t xml:space="preserve">(c) Each Subsidiary Guarantor, if any, hereby waives the benefits of diligence, presentment, demand for payment, filing of claims with a court in the event of insolvency or bankruptcy of the Issuer, any right to require a proceeding first against the Issuer or any other Person, protest, notice and all demands whatsoever and covenants that the Subsidiary Guarantee of such Subsidiary Guarantor shall not be discharged as to any Note or this Indenture except by complete performance of the obligations contained in such Note and this Indenture and such Subsidiary Guarantee. Each of the Subsidiary Guarantors, if any, hereby agrees that, in the event of a Default in payment of principal or premium, if any, or interest on any Note, whether at its Stated Maturity, by acceleration, call for redemption, purchase or otherwise, legal proceedings may be instituted by the Trustee on behalf of, or by, the Holder of such Note, subject to the terms and conditions set forth in this Indenture, directly against each of the Subsidiary Guarantors, if any, to enforce each such Subsidiary Guarantor’s Subsidiary Guarantee without first proceeding against the Issuer or any other Subsidiary Guarantor. Each Subsidiary Guarantor, if any, agrees that if, after the occurrence and during the continuance of an Event of Default, the Trustee or any of the Holders are prevented by applicable law from exercising their respective rights to accelerate the maturity of the Notes, to collect interest on the Notes, or to enforce or exercise any other right or remedy with respect to the Notes, such Subsidiary Guarantor shall pay to the Trustee for the account of the Holders, upon demand therefor, the amount that would otherwise have been due and payable had such rights and remedies been permitted to be exercised by the Trustee or any of the Holders and any other amounts due and owing to the Trustee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(d) If any Holder or the Trustee is required by any court or otherwise to return to the Issuer or any Subsidiary Guarantor, or any custodian, trustee, liquidator or other similar official acting in relation to the Issuer or any Subsidiary Guarantor, any amount paid by any of them to the Trustee or such Holder, the Subsidiary Guarantee of each of the Subsidiary Guarantors, if any, to the extent theretofore discharged, shall be reinstated in full force and effect. Section 10.1(d) shall remain effective notwithstanding any contrary action which may be taken by the Trustee or any Holder in reliance upon such amount required to be returned. This Section 10.1(d) shall survive the termination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(e) Each Subsidiary Guarantor, if any, further agrees that, as between each Subsidiary Guarantor, on the one hand, and the Holders and the Trustee, on the other hand, (x) the maturity of the obligations guaranteed hereby may be accelerated as provided in Article VI for the purposes of the Subsidiary Guarantee of such Subsidiary Guarantor, notwithstanding any stay, injunction or other prohibition preventing such acceleration in respect of the obligations guaranteed hereby, and (y) in the event of any acceleration of such obligations as provided in Article VI, such obligations (whether or not due and payable) shall forthwith become due and payable by each Subsidiary Guarantor, if any, for the purpose of the Subsidiary Guarantee of such Subsidiary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Each Subsidiary Guarantor that makes a payment for distribution under its Subsidiary Guarantee is entitled upon payment in full of all guaranteed obligations under this Indenture to seek contribution from each other Subsidiary Guarantor in a </w:t>
      </w:r>
      <w:r>
        <w:rPr>
          <w:rFonts w:ascii="Times New Roman" w:hAnsi="Times New Roman"/>
          <w:i/>
          <w:sz w:val="20"/>
        </w:rPr>
        <w:t>pro rata</w:t>
      </w:r>
      <w:r>
        <w:rPr>
          <w:rFonts w:ascii="Times New Roman" w:hAnsi="Times New Roman"/>
          <w:sz w:val="20"/>
        </w:rPr>
        <w:t xml:space="preserve"> amount of such payment based on the respective net assets of all the Subsidiary Guarantors at the time of such payment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Execution and Delivery of Guarantee</w:t>
      </w:r>
      <w:r>
        <w:rPr>
          <w:rFonts w:ascii="Times New Roman" w:hAnsi="Times New Roman"/>
          <w:sz w:val="20"/>
        </w:rPr>
        <w:t xml:space="preserve">. To evidence its Subsidiary Guarantee set forth in Section 10.1, each Subsidiary Guarantor, if any, agrees that a supplemental indenture in substantially the form attached hereto as Exhibit B shall be executed on behalf of such Subsidiary Guarantor by an Officer of such Subsidiary Guarantor (or, if an Officer is not available, by a board member or director or other duly authorized signatory) on behalf of such Subsidiary Guarantor. Each Subsidiary Guarantor, if any, hereby agrees that its Subsidiary Guarantee set forth in Section 10.1 hereof shall remain in full force and effect notwithstanding the absence of the endorsement of any notation of such Subsidiary Guarantee on the Notes. In case the Officer, board member or director of such Subsidiary Guarantor whose signature is on this Indenture or supplemental indenture, as applicable, no longer holds office at the time the Trustee authenticates any Note, the Subsidiary Guarantee shall be valid nevertheless. </w:t>
      </w:r>
    </w:p>
    <w:p>
      <w:pPr>
        <w:pStyle w:val="TextBody"/>
        <w:bidi w:val="0"/>
        <w:spacing w:before="240" w:after="0"/>
        <w:jc w:val="left"/>
        <w:rPr>
          <w:rFonts w:ascii="Times New Roman" w:hAnsi="Times New Roman"/>
          <w:sz w:val="20"/>
        </w:rPr>
      </w:pPr>
      <w:r>
        <w:rPr>
          <w:rFonts w:ascii="Times New Roman" w:hAnsi="Times New Roman"/>
          <w:sz w:val="20"/>
        </w:rPr>
        <w:t xml:space="preserve">The delivery of any Note by the Trustee, after the authentication thereof hereunder, shall constitute due delivery of the Subsidiary Guarantee set forth in this Indenture on behalf of the Subsidiary Guarantors.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Severability</w:t>
      </w:r>
      <w:r>
        <w:rPr>
          <w:rFonts w:ascii="Times New Roman" w:hAnsi="Times New Roman"/>
          <w:sz w:val="20"/>
        </w:rPr>
        <w:t xml:space="preserve">. In case any provision of any Subsidiary Guarantee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Limitation of Subsidiary Guarantors’ Liability</w:t>
      </w:r>
      <w:r>
        <w:rPr>
          <w:rFonts w:ascii="Times New Roman" w:hAnsi="Times New Roman"/>
          <w:sz w:val="20"/>
        </w:rPr>
        <w:t xml:space="preserve">. Each Subsidiary Guarantor, if any, and by its acceptance hereof each Holder confirms that it is the intention of all such parties that the Subsidiary Guarantee of such Subsidiary Guarantor not constitute a fraudulent transfer or conveyance for purposes of the Bankruptcy Law, the Uniform Fraudulent Conveyance Act, the Uniform Fraudulent Transfer Act or any similar federal or state law or the provisions of its local law relating to fraudulent transfer or conveyance. To effectuate the foregoing intention, the Trustee, the Holders and Subsidiary Guarantors, if any, hereby irrevocably agree that the obligations of such Subsidiary Guarantor under its Subsidiary Guarantee shall be limited to the maximum amount that will not, after giving effect to all other contingent and fixed liabilities of such Subsidiary Guarantor (including, without limitation, any guarantees under the New ABL Credit Agreement) and after giving effect to any collections from, rights to receive contribution from or payments made by or on behalf of any other Subsidiary Guarantor in respect of the obligations of such other Subsidiary Guarantor under its Subsidiary Guarantee, result in the obligations of such Subsidiary Guarantor under its Subsidiary Guarantee constituting a fraudulent conveyance, fraudulent preference or fraudulent transfer or otherwise reviewable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Release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 Subsidiary Guarantee of any Subsidiary Guarantor shall be automatically and unconditionally released and discharged upon: </w:t>
      </w:r>
    </w:p>
    <w:p>
      <w:pPr>
        <w:pStyle w:val="TextBody"/>
        <w:bidi w:val="0"/>
        <w:spacing w:before="120" w:after="0"/>
        <w:jc w:val="left"/>
        <w:rPr>
          <w:rFonts w:ascii="Times New Roman" w:hAnsi="Times New Roman"/>
          <w:sz w:val="20"/>
        </w:rPr>
      </w:pPr>
      <w:r>
        <w:rPr>
          <w:rFonts w:ascii="Times New Roman" w:hAnsi="Times New Roman"/>
          <w:sz w:val="20"/>
        </w:rPr>
        <w:t xml:space="preserve">(1) any sale, transfer or other disposition of all or substantially all of the assets of such Subsidiary Guarantor (including by way of merger or consolidation) to a Person that is not (either before or after giving effect to such transaction) the Issuer or a Restricted Subsidiary of the Issuer, if the sale or other disposition does not violate Section 4.10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(2) any sale, transfer or other disposition of Capital Stock of such Subsidiary Guarantor (including by way of merger or consolidation) to a Person that is not (either before or after giving effect to such transaction) the Issuer or a Restricted Subsidiary of the Issuer, if after such sale, transfer or disposition, the Subsidiary Guarantor would cease to be a Restricted Subsidiary and the sale or other disposition does not violate Section 4.10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(3) the exercise by the Issuer of its Legal Defeasance option or its Covenant Defeasance option or the satisfaction and discharge of this Indenture, in each case as provided under Article VIII; </w:t>
      </w:r>
    </w:p>
    <w:p>
      <w:pPr>
        <w:pStyle w:val="TextBody"/>
        <w:bidi w:val="0"/>
        <w:spacing w:before="120" w:after="0"/>
        <w:jc w:val="left"/>
        <w:rPr>
          <w:rFonts w:ascii="Times New Roman" w:hAnsi="Times New Roman"/>
          <w:sz w:val="20"/>
        </w:rPr>
      </w:pPr>
      <w:r>
        <w:rPr>
          <w:rFonts w:ascii="Times New Roman" w:hAnsi="Times New Roman"/>
          <w:sz w:val="20"/>
        </w:rPr>
        <w:t xml:space="preserve">(4) the proper designation of such Subsidiary Guarantor by the Issuer as an Unrestricted Subsidiary in accordance with the terms of this Indenture; or </w:t>
      </w:r>
    </w:p>
    <w:p>
      <w:pPr>
        <w:pStyle w:val="TextBody"/>
        <w:bidi w:val="0"/>
        <w:spacing w:before="120" w:after="0"/>
        <w:jc w:val="left"/>
        <w:rPr>
          <w:rFonts w:ascii="Times New Roman" w:hAnsi="Times New Roman"/>
          <w:sz w:val="20"/>
        </w:rPr>
      </w:pPr>
      <w:r>
        <w:rPr>
          <w:rFonts w:ascii="Times New Roman" w:hAnsi="Times New Roman"/>
          <w:sz w:val="20"/>
        </w:rPr>
        <w:t xml:space="preserve">(5) at such time as the Subsidiary Guarantor is released from its obligations under all Guarantees or other Debt the Incurrence of which required, or would require, such Subsidiary Guarantor to Guarantee the Notes pursuant to Section 4.16, and no Event of Default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(b) Upon delivery to the Trustee of an Officer’s Certificate and an Opinion of Counsel to the effect that all conditions precedent to the release of a Subsidiary Guarantor’s Subsidiary Guarantee set forth in this Indenture have been satisfied, the Subsidiary Guarantor shall be deemed automatically and unconditionally released and discharged. None of the Issuer, the Trustee nor any Subsidiary Guarantor will be required to make a notation on the Notes to reflect any such release and discharge. By their acquisition of the Notes, the Holders acknowledge that any such release of a Subsidiary Guarantee in accordance with the terms of this Indenture will be deemed not to impair their repayment rights under the Notes. </w:t>
      </w:r>
    </w:p>
    <w:p>
      <w:pPr>
        <w:pStyle w:val="TextBody"/>
        <w:bidi w:val="0"/>
        <w:spacing w:before="120" w:after="0"/>
        <w:jc w:val="left"/>
        <w:rPr>
          <w:rFonts w:ascii="Times New Roman" w:hAnsi="Times New Roman"/>
          <w:sz w:val="20"/>
        </w:rPr>
      </w:pPr>
      <w:r>
        <w:rPr>
          <w:rFonts w:ascii="Times New Roman" w:hAnsi="Times New Roman"/>
          <w:sz w:val="20"/>
        </w:rPr>
        <w:t xml:space="preserve">(c) Any Subsidiary Guarantor not released from its obligations under its Subsidiary Guarantee shall remain liable for the full amount of principal of and interest on the Notes and for the other obligations of any Subsidiary Guarantor under this Indenture as provided in this Article X.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Benefits Acknowledged</w:t>
      </w:r>
      <w:r>
        <w:rPr>
          <w:rFonts w:ascii="Times New Roman" w:hAnsi="Times New Roman"/>
          <w:sz w:val="20"/>
        </w:rPr>
        <w:t xml:space="preserve">. Each Subsidiary Guarantor, if any, acknowledges that it will receive direct and indirect benefits from the financing arrangements contemplated by this Indenture and that its guarantee and waivers pursuant to its Subsidiary Guarantee are knowingly made in contemplation of such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XI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Notices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Any notice or communication to the Issuer, any Subsidiary Guarantor or the Trustee is duly given if in writing and (1) delivered in person, (2) mailed by first-class mail (certified or registered, return receipt requested), postage prepaid, or overnight air courier guaranteeing next day delivery or (3) sent by facsimile or electronic transmission, to its address: </w:t>
      </w:r>
    </w:p>
    <w:p>
      <w:pPr>
        <w:pStyle w:val="TextBody"/>
        <w:bidi w:val="0"/>
        <w:spacing w:before="240" w:after="0"/>
        <w:jc w:val="left"/>
        <w:rPr>
          <w:rFonts w:ascii="Times New Roman" w:hAnsi="Times New Roman"/>
          <w:sz w:val="20"/>
        </w:rPr>
      </w:pPr>
      <w:r>
        <w:rPr>
          <w:rFonts w:ascii="Times New Roman" w:hAnsi="Times New Roman"/>
          <w:sz w:val="20"/>
        </w:rPr>
        <w:t xml:space="preserve">If to the Issuer or any Subsidiary Guarantor: </w:t>
      </w:r>
    </w:p>
    <w:p>
      <w:pPr>
        <w:pStyle w:val="TextBody"/>
        <w:bidi w:val="0"/>
        <w:spacing w:before="240" w:after="0"/>
        <w:jc w:val="left"/>
        <w:rPr>
          <w:rFonts w:ascii="Times New Roman" w:hAnsi="Times New Roman"/>
          <w:sz w:val="20"/>
        </w:rPr>
      </w:pPr>
      <w:r>
        <w:rPr>
          <w:rFonts w:ascii="Times New Roman" w:hAnsi="Times New Roman"/>
          <w:sz w:val="20"/>
        </w:rPr>
        <w:t xml:space="preserve">c/o Newell Brands Inc. </w:t>
      </w:r>
    </w:p>
    <w:p>
      <w:pPr>
        <w:pStyle w:val="TextBody"/>
        <w:bidi w:val="0"/>
        <w:spacing w:before="0" w:after="0"/>
        <w:jc w:val="left"/>
        <w:rPr>
          <w:rFonts w:ascii="Times New Roman" w:hAnsi="Times New Roman"/>
          <w:sz w:val="20"/>
        </w:rPr>
      </w:pPr>
      <w:r>
        <w:rPr>
          <w:rFonts w:ascii="Times New Roman" w:hAnsi="Times New Roman"/>
          <w:sz w:val="20"/>
        </w:rPr>
        <w:t xml:space="preserve">5 Concourse Parkway NE, 8th Floor </w:t>
      </w:r>
    </w:p>
    <w:p>
      <w:pPr>
        <w:pStyle w:val="TextBody"/>
        <w:bidi w:val="0"/>
        <w:spacing w:before="0" w:after="0"/>
        <w:jc w:val="left"/>
        <w:rPr>
          <w:rFonts w:ascii="Times New Roman" w:hAnsi="Times New Roman"/>
          <w:sz w:val="20"/>
        </w:rPr>
      </w:pPr>
      <w:r>
        <w:rPr>
          <w:rFonts w:ascii="Times New Roman" w:hAnsi="Times New Roman"/>
          <w:sz w:val="20"/>
        </w:rPr>
        <w:t xml:space="preserve">Atlanta, Georgia 30328 </w:t>
      </w:r>
    </w:p>
    <w:p>
      <w:pPr>
        <w:pStyle w:val="TextBody"/>
        <w:bidi w:val="0"/>
        <w:spacing w:before="0" w:after="0"/>
        <w:jc w:val="left"/>
        <w:rPr>
          <w:rFonts w:ascii="Times New Roman" w:hAnsi="Times New Roman"/>
          <w:sz w:val="20"/>
        </w:rPr>
      </w:pPr>
      <w:r>
        <w:rPr>
          <w:rFonts w:ascii="Times New Roman" w:hAnsi="Times New Roman"/>
          <w:sz w:val="20"/>
        </w:rPr>
        <w:t xml:space="preserve">Telephone: 1-770-418-7710 </w:t>
      </w:r>
    </w:p>
    <w:p>
      <w:pPr>
        <w:pStyle w:val="TextBody"/>
        <w:bidi w:val="0"/>
        <w:spacing w:before="0" w:after="0"/>
        <w:jc w:val="left"/>
        <w:rPr>
          <w:rFonts w:ascii="Times New Roman" w:hAnsi="Times New Roman"/>
          <w:sz w:val="20"/>
        </w:rPr>
      </w:pPr>
      <w:r>
        <w:rPr>
          <w:rFonts w:ascii="Times New Roman" w:hAnsi="Times New Roman"/>
          <w:sz w:val="20"/>
        </w:rPr>
        <w:t xml:space="preserve">Email: Bradford.Turner@newellco.com </w:t>
      </w:r>
    </w:p>
    <w:p>
      <w:pPr>
        <w:pStyle w:val="TextBody"/>
        <w:bidi w:val="0"/>
        <w:spacing w:before="0" w:after="0"/>
        <w:jc w:val="left"/>
        <w:rPr>
          <w:rFonts w:ascii="Times New Roman" w:hAnsi="Times New Roman"/>
          <w:sz w:val="20"/>
        </w:rPr>
      </w:pPr>
      <w:r>
        <w:rPr>
          <w:rFonts w:ascii="Times New Roman" w:hAnsi="Times New Roman"/>
          <w:sz w:val="20"/>
        </w:rPr>
        <w:t xml:space="preserve">Attention: Bradford Turner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240" w:after="0"/>
        <w:jc w:val="left"/>
        <w:rPr>
          <w:rFonts w:ascii="Times New Roman" w:hAnsi="Times New Roman"/>
          <w:sz w:val="20"/>
        </w:rPr>
      </w:pPr>
      <w:r>
        <w:rPr>
          <w:rFonts w:ascii="Times New Roman" w:hAnsi="Times New Roman"/>
          <w:sz w:val="20"/>
        </w:rPr>
        <w:t xml:space="preserve">Jones Day </w:t>
      </w:r>
    </w:p>
    <w:p>
      <w:pPr>
        <w:pStyle w:val="TextBody"/>
        <w:bidi w:val="0"/>
        <w:spacing w:before="0" w:after="0"/>
        <w:jc w:val="left"/>
        <w:rPr>
          <w:rFonts w:ascii="Times New Roman" w:hAnsi="Times New Roman"/>
          <w:sz w:val="20"/>
        </w:rPr>
      </w:pPr>
      <w:r>
        <w:rPr>
          <w:rFonts w:ascii="Times New Roman" w:hAnsi="Times New Roman"/>
          <w:sz w:val="20"/>
        </w:rPr>
        <w:t xml:space="preserve">1221 Peachtree Street, N.E., Suite 400 </w:t>
      </w:r>
    </w:p>
    <w:p>
      <w:pPr>
        <w:pStyle w:val="TextBody"/>
        <w:bidi w:val="0"/>
        <w:spacing w:before="0" w:after="0"/>
        <w:jc w:val="left"/>
        <w:rPr>
          <w:rFonts w:ascii="Times New Roman" w:hAnsi="Times New Roman"/>
          <w:sz w:val="20"/>
        </w:rPr>
      </w:pPr>
      <w:r>
        <w:rPr>
          <w:rFonts w:ascii="Times New Roman" w:hAnsi="Times New Roman"/>
          <w:sz w:val="20"/>
        </w:rPr>
        <w:t xml:space="preserve">Atlanta, GA 30361 </w:t>
      </w:r>
    </w:p>
    <w:p>
      <w:pPr>
        <w:pStyle w:val="TextBody"/>
        <w:bidi w:val="0"/>
        <w:spacing w:before="0" w:after="0"/>
        <w:jc w:val="left"/>
        <w:rPr>
          <w:rFonts w:ascii="Times New Roman" w:hAnsi="Times New Roman"/>
          <w:sz w:val="20"/>
        </w:rPr>
      </w:pPr>
      <w:r>
        <w:rPr>
          <w:rFonts w:ascii="Times New Roman" w:hAnsi="Times New Roman"/>
          <w:sz w:val="20"/>
        </w:rPr>
        <w:t xml:space="preserve">Email: jtmay@jonesday.com; fkeel@jonesday.com </w:t>
      </w:r>
    </w:p>
    <w:p>
      <w:pPr>
        <w:pStyle w:val="TextBody"/>
        <w:bidi w:val="0"/>
        <w:spacing w:before="0" w:after="0"/>
        <w:jc w:val="left"/>
        <w:rPr>
          <w:rFonts w:ascii="Times New Roman" w:hAnsi="Times New Roman"/>
          <w:sz w:val="20"/>
        </w:rPr>
      </w:pPr>
      <w:r>
        <w:rPr>
          <w:rFonts w:ascii="Times New Roman" w:hAnsi="Times New Roman"/>
          <w:sz w:val="20"/>
        </w:rPr>
        <w:t xml:space="preserve">Attention: Joel May, Esq.; Ferrell Keel, Esq. </w:t>
      </w:r>
    </w:p>
    <w:p>
      <w:pPr>
        <w:pStyle w:val="TextBody"/>
        <w:bidi w:val="0"/>
        <w:spacing w:before="240" w:after="0"/>
        <w:jc w:val="left"/>
        <w:rPr>
          <w:rFonts w:ascii="Times New Roman" w:hAnsi="Times New Roman"/>
          <w:sz w:val="20"/>
        </w:rPr>
      </w:pPr>
      <w:r>
        <w:rPr>
          <w:rFonts w:ascii="Times New Roman" w:hAnsi="Times New Roman"/>
          <w:sz w:val="20"/>
        </w:rPr>
        <w:t xml:space="preserve">If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2 Concourse Parkway, Suite 800 </w:t>
      </w:r>
    </w:p>
    <w:p>
      <w:pPr>
        <w:pStyle w:val="TextBody"/>
        <w:bidi w:val="0"/>
        <w:spacing w:before="0" w:after="0"/>
        <w:jc w:val="left"/>
        <w:rPr>
          <w:rFonts w:ascii="Times New Roman" w:hAnsi="Times New Roman"/>
          <w:sz w:val="20"/>
        </w:rPr>
      </w:pPr>
      <w:r>
        <w:rPr>
          <w:rFonts w:ascii="Times New Roman" w:hAnsi="Times New Roman"/>
          <w:sz w:val="20"/>
        </w:rPr>
        <w:t xml:space="preserve">Atlanta, GA 30328-5588 </w:t>
      </w:r>
    </w:p>
    <w:p>
      <w:pPr>
        <w:pStyle w:val="TextBody"/>
        <w:bidi w:val="0"/>
        <w:spacing w:before="0" w:after="0"/>
        <w:jc w:val="left"/>
        <w:rPr>
          <w:rFonts w:ascii="Times New Roman" w:hAnsi="Times New Roman"/>
          <w:sz w:val="20"/>
        </w:rPr>
      </w:pPr>
      <w:r>
        <w:rPr>
          <w:rFonts w:ascii="Times New Roman" w:hAnsi="Times New Roman"/>
          <w:sz w:val="20"/>
        </w:rPr>
        <w:t xml:space="preserve">Fax No.: 404-898-2467 </w:t>
      </w:r>
    </w:p>
    <w:p>
      <w:pPr>
        <w:pStyle w:val="TextBody"/>
        <w:bidi w:val="0"/>
        <w:spacing w:before="0" w:after="0"/>
        <w:jc w:val="left"/>
        <w:rPr>
          <w:rFonts w:ascii="Times New Roman" w:hAnsi="Times New Roman"/>
          <w:sz w:val="20"/>
        </w:rPr>
      </w:pPr>
      <w:r>
        <w:rPr>
          <w:rFonts w:ascii="Times New Roman" w:hAnsi="Times New Roman"/>
          <w:sz w:val="20"/>
        </w:rPr>
        <w:t xml:space="preserve">Email: felicia.powell@usbank.com </w:t>
      </w:r>
    </w:p>
    <w:p>
      <w:pPr>
        <w:pStyle w:val="TextBody"/>
        <w:bidi w:val="0"/>
        <w:spacing w:before="0" w:after="0"/>
        <w:jc w:val="left"/>
        <w:rPr>
          <w:rFonts w:ascii="Times New Roman" w:hAnsi="Times New Roman"/>
          <w:sz w:val="20"/>
        </w:rPr>
      </w:pPr>
      <w:r>
        <w:rPr>
          <w:rFonts w:ascii="Times New Roman" w:hAnsi="Times New Roman"/>
          <w:sz w:val="20"/>
        </w:rPr>
        <w:t xml:space="preserve">Attention: Corporate Trust Department </w:t>
      </w:r>
    </w:p>
    <w:p>
      <w:pPr>
        <w:pStyle w:val="TextBody"/>
        <w:bidi w:val="0"/>
        <w:spacing w:before="120" w:after="0"/>
        <w:jc w:val="left"/>
        <w:rPr>
          <w:rFonts w:ascii="Times New Roman" w:hAnsi="Times New Roman"/>
          <w:sz w:val="20"/>
        </w:rPr>
      </w:pPr>
      <w:r>
        <w:rPr>
          <w:rFonts w:ascii="Times New Roman" w:hAnsi="Times New Roman"/>
          <w:sz w:val="20"/>
        </w:rPr>
        <w:t xml:space="preserve">The Issuer, any Subsidiary Guarantor or the Trustee, by like notice, may designate additional or different addresses for subsequent notices or communications. </w:t>
      </w:r>
    </w:p>
    <w:p>
      <w:pPr>
        <w:pStyle w:val="TextBody"/>
        <w:bidi w:val="0"/>
        <w:spacing w:before="120" w:after="0"/>
        <w:jc w:val="left"/>
        <w:rPr>
          <w:rFonts w:ascii="Times New Roman" w:hAnsi="Times New Roman"/>
          <w:sz w:val="20"/>
        </w:rPr>
      </w:pPr>
      <w:r>
        <w:rPr>
          <w:rFonts w:ascii="Times New Roman" w:hAnsi="Times New Roman"/>
          <w:sz w:val="20"/>
        </w:rPr>
        <w:t xml:space="preserve">(b) All notices and communications (other than those sent to Holders) shall be deemed to have been duly given: at the time delivered by hand, if personally delivered; on the first date of which publication is made, if by publication; five calendar days after being deposited in the mail, postage prepaid, if mailed by first-class mail; the next Business Day after timely delivery to the courier, if mailed by overnight air courier guaranteeing next day delivery; when receipt acknowledged, if sent by facsimile or electronic transmission; </w:t>
      </w:r>
      <w:r>
        <w:rPr>
          <w:rFonts w:ascii="Times New Roman" w:hAnsi="Times New Roman"/>
          <w:sz w:val="20"/>
          <w:u w:val="single"/>
        </w:rPr>
        <w:t>provided</w:t>
      </w:r>
      <w:r>
        <w:rPr>
          <w:rFonts w:ascii="Times New Roman" w:hAnsi="Times New Roman"/>
          <w:sz w:val="20"/>
        </w:rPr>
        <w:t xml:space="preserve"> that any notice or communication delivered to the Trustee shall be deemed effective upon actual receipt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notice or communication to a Holder shall be mailed by first-class mail (certified or registered, return receipt requested) or by overnight air courier guaranteeing next Business Day delivery to its address shown on the registrar kept by the Registrar. Notwithstanding the foregoing, as long as the Notes are Global Notes, notices to be given to the Holders shall be given to the Depositary in accordance with its applicable policies as in effect from time to time. Failure to mail a notice or communication to a Holder or any defect in it shall not affect its sufficiency with respect to other Holders. </w:t>
      </w:r>
    </w:p>
    <w:p>
      <w:pPr>
        <w:pStyle w:val="TextBody"/>
        <w:bidi w:val="0"/>
        <w:spacing w:before="120" w:after="0"/>
        <w:jc w:val="left"/>
        <w:rPr>
          <w:rFonts w:ascii="Times New Roman" w:hAnsi="Times New Roman"/>
          <w:sz w:val="20"/>
        </w:rPr>
      </w:pPr>
      <w:r>
        <w:rPr>
          <w:rFonts w:ascii="Times New Roman" w:hAnsi="Times New Roman"/>
          <w:sz w:val="20"/>
        </w:rPr>
        <w:t xml:space="preserve">(d)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 other provision herein, where this Indenture or any Note provides for notice of any event to any Holder of an interest in a Global Note (whether by mail or otherwise), such notice shall be sufficiently given if given to the Depositary for such Note (or its designee), according to the applicable procedures, if any, prescribed for the giving of such notice. </w:t>
      </w:r>
    </w:p>
    <w:p>
      <w:pPr>
        <w:pStyle w:val="TextBody"/>
        <w:bidi w:val="0"/>
        <w:spacing w:before="120" w:after="0"/>
        <w:jc w:val="left"/>
        <w:rPr>
          <w:rFonts w:ascii="Times New Roman" w:hAnsi="Times New Roman"/>
          <w:sz w:val="20"/>
        </w:rPr>
      </w:pPr>
      <w:r>
        <w:rPr>
          <w:rFonts w:ascii="Times New Roman" w:hAnsi="Times New Roman"/>
          <w:sz w:val="20"/>
        </w:rPr>
        <w:t xml:space="preserve">(f) The Trustee agrees to accept and act upon notice, instructions or directions pursuant to this Indenture sent by unsecured facsimile or electronic transmission;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(1) the party providing such written notice, instructions or directions, subsequent to such transmission of written instructions, shall, if requested, provide the originally executed instructions or directions to the Trustee in a timely manner, and (2) such originally executed notice, instructions or directions shall be signed by an authorized representative of the party providing such notice, instructions or directions. The Trustee shall not be liable for any losses, costs or expenses arising directly or indirectly from the Trustee’s reasonable reliance upon and compliance with such notice, instructions or directions notwithstanding such notice, instructions or directions conflict or are inconsistent with a subsequent notice, instructions or directions. </w:t>
      </w:r>
    </w:p>
    <w:p>
      <w:pPr>
        <w:pStyle w:val="TextBody"/>
        <w:bidi w:val="0"/>
        <w:spacing w:before="120" w:after="0"/>
        <w:jc w:val="left"/>
        <w:rPr>
          <w:rFonts w:ascii="Times New Roman" w:hAnsi="Times New Roman"/>
          <w:sz w:val="20"/>
        </w:rPr>
      </w:pPr>
      <w:r>
        <w:rPr>
          <w:rFonts w:ascii="Times New Roman" w:hAnsi="Times New Roman"/>
          <w:sz w:val="20"/>
        </w:rPr>
        <w:t xml:space="preserve">(g) If a notice or communication is sent in the manner provided above within the time prescribed, it is duly given, whether or not the addressee receives it. </w:t>
      </w:r>
    </w:p>
    <w:p>
      <w:pPr>
        <w:pStyle w:val="TextBody"/>
        <w:bidi w:val="0"/>
        <w:spacing w:before="120" w:after="0"/>
        <w:jc w:val="left"/>
        <w:rPr>
          <w:rFonts w:ascii="Times New Roman" w:hAnsi="Times New Roman"/>
          <w:sz w:val="20"/>
        </w:rPr>
      </w:pPr>
      <w:r>
        <w:rPr>
          <w:rFonts w:ascii="Times New Roman" w:hAnsi="Times New Roman"/>
          <w:sz w:val="20"/>
        </w:rPr>
        <w:t xml:space="preserve">(h) If the Issuer delivers a notice or communication to Holders, it shall deliver a copy to the Trustee and each Agent at the same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Certificate and Opinion as to Conditions Precedent</w:t>
      </w:r>
      <w:r>
        <w:rPr>
          <w:rFonts w:ascii="Times New Roman" w:hAnsi="Times New Roman"/>
          <w:sz w:val="20"/>
        </w:rPr>
        <w:t xml:space="preserve">. Upon any request or application by the Issuer to the Trustee to take any action under this Indenture, the Issuer shall furnish to the Trustee upon request: </w:t>
      </w:r>
    </w:p>
    <w:p>
      <w:pPr>
        <w:pStyle w:val="TextBody"/>
        <w:bidi w:val="0"/>
        <w:spacing w:before="120" w:after="0"/>
        <w:jc w:val="left"/>
        <w:rPr>
          <w:rFonts w:ascii="Times New Roman" w:hAnsi="Times New Roman"/>
          <w:sz w:val="20"/>
        </w:rPr>
      </w:pPr>
      <w:r>
        <w:rPr>
          <w:rFonts w:ascii="Times New Roman" w:hAnsi="Times New Roman"/>
          <w:sz w:val="20"/>
        </w:rPr>
        <w:t xml:space="preserve">(a) an Officer’s Certificate (which shall include the statements set forth in Section 11.3) stating that, in the opinion of the signers, all conditions precedent and covenants, if any, provided for in this Indenture relating to the proposed action have been satisfied; and </w:t>
      </w:r>
    </w:p>
    <w:p>
      <w:pPr>
        <w:pStyle w:val="TextBody"/>
        <w:bidi w:val="0"/>
        <w:spacing w:before="120" w:after="0"/>
        <w:jc w:val="left"/>
        <w:rPr>
          <w:rFonts w:ascii="Times New Roman" w:hAnsi="Times New Roman"/>
          <w:sz w:val="20"/>
        </w:rPr>
      </w:pPr>
      <w:r>
        <w:rPr>
          <w:rFonts w:ascii="Times New Roman" w:hAnsi="Times New Roman"/>
          <w:sz w:val="20"/>
        </w:rPr>
        <w:t xml:space="preserve">(b) an Opinion of Counsel (which shall include the statements set forth in Section 11.3) stating that, in the opinion of such counsel, all such conditions precedent and covenants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Statements Required in Certificate or Opinion</w:t>
      </w:r>
      <w:r>
        <w:rPr>
          <w:rFonts w:ascii="Times New Roman" w:hAnsi="Times New Roman"/>
          <w:sz w:val="20"/>
        </w:rPr>
        <w:t xml:space="preserve">. Each certificate or opinion with respect to compliance with a condition or covenant provided for in this Indenture (other than a certificate provided pursuant to Section 4.4) shall include substantially: </w:t>
      </w:r>
    </w:p>
    <w:p>
      <w:pPr>
        <w:pStyle w:val="TextBody"/>
        <w:bidi w:val="0"/>
        <w:spacing w:before="120" w:after="0"/>
        <w:jc w:val="left"/>
        <w:rPr>
          <w:rFonts w:ascii="Times New Roman" w:hAnsi="Times New Roman"/>
          <w:sz w:val="20"/>
        </w:rPr>
      </w:pPr>
      <w:r>
        <w:rPr>
          <w:rFonts w:ascii="Times New Roman" w:hAnsi="Times New Roman"/>
          <w:sz w:val="20"/>
        </w:rPr>
        <w:t xml:space="preserve">(a) a statement that the Person making such certificate or opinion has read such covenant or condition; </w:t>
      </w:r>
    </w:p>
    <w:p>
      <w:pPr>
        <w:pStyle w:val="TextBody"/>
        <w:bidi w:val="0"/>
        <w:spacing w:before="12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statements or opinions contained in such certificate or opinion are based; </w:t>
      </w:r>
    </w:p>
    <w:p>
      <w:pPr>
        <w:pStyle w:val="TextBody"/>
        <w:bidi w:val="0"/>
        <w:spacing w:before="120" w:after="0"/>
        <w:jc w:val="left"/>
        <w:rPr>
          <w:rFonts w:ascii="Times New Roman" w:hAnsi="Times New Roman"/>
          <w:sz w:val="20"/>
        </w:rPr>
      </w:pPr>
      <w:r>
        <w:rPr>
          <w:rFonts w:ascii="Times New Roman" w:hAnsi="Times New Roman"/>
          <w:sz w:val="20"/>
        </w:rPr>
        <w:t xml:space="preserve">(c) a statement that, in the opinion of such Person, he or she has made such examination or investigation as is necessary to enable him to express an informed opinion as to whether or not such covenant or condition has been satisfied; and </w:t>
      </w:r>
    </w:p>
    <w:p>
      <w:pPr>
        <w:pStyle w:val="TextBody"/>
        <w:bidi w:val="0"/>
        <w:spacing w:before="120" w:after="0"/>
        <w:jc w:val="left"/>
        <w:rPr>
          <w:rFonts w:ascii="Times New Roman" w:hAnsi="Times New Roman"/>
          <w:sz w:val="20"/>
        </w:rPr>
      </w:pPr>
      <w:r>
        <w:rPr>
          <w:rFonts w:ascii="Times New Roman" w:hAnsi="Times New Roman"/>
          <w:sz w:val="20"/>
        </w:rPr>
        <w:t xml:space="preserve">(d) a statement as to whether or not, in the opinion of such Person, such condition or covenant has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SECTION 11.4. </w:t>
      </w:r>
      <w:r>
        <w:rPr>
          <w:rFonts w:ascii="Times New Roman" w:hAnsi="Times New Roman"/>
          <w:sz w:val="20"/>
          <w:u w:val="single"/>
        </w:rPr>
        <w:t>Rules by Trustee and Agents</w:t>
      </w:r>
      <w:r>
        <w:rPr>
          <w:rFonts w:ascii="Times New Roman" w:hAnsi="Times New Roman"/>
          <w:sz w:val="20"/>
        </w:rPr>
        <w:t xml:space="preserve">. The Trustee may make reasonable rules for action by or at a meeting of Holders. Each of the Agents may make reasonable rules and set reasonable requirements for its functions.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11.5. </w:t>
      </w:r>
      <w:r>
        <w:rPr>
          <w:rFonts w:ascii="Times New Roman" w:hAnsi="Times New Roman"/>
          <w:sz w:val="20"/>
          <w:u w:val="single"/>
        </w:rPr>
        <w:t>No Personal Liability of Directors, Officers, Employees and Stockholders</w:t>
      </w:r>
      <w:r>
        <w:rPr>
          <w:rFonts w:ascii="Times New Roman" w:hAnsi="Times New Roman"/>
          <w:sz w:val="20"/>
        </w:rPr>
        <w:t xml:space="preserve">. No past, present or future director, officer, employee, incorporator, member, partner or stockholder of the Issuer or any Subsidiary Guarantor, as such, shall have any liability for any obligations of the Issuer or any Subsidiary Guarantor (other than the Issuer in respect of the Notes and any Subsidiary Guarantor in respect of its Subsidiary Guarantee) under the Notes, any Subsidiary Guarantees or this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federal securities law. </w:t>
      </w:r>
    </w:p>
    <w:p>
      <w:pPr>
        <w:pStyle w:val="TextBody"/>
        <w:bidi w:val="0"/>
        <w:spacing w:before="240" w:after="0"/>
        <w:jc w:val="left"/>
        <w:rPr>
          <w:rFonts w:ascii="Times New Roman" w:hAnsi="Times New Roman"/>
          <w:sz w:val="20"/>
        </w:rPr>
      </w:pPr>
      <w:r>
        <w:rPr>
          <w:rFonts w:ascii="Times New Roman" w:hAnsi="Times New Roman"/>
          <w:sz w:val="20"/>
        </w:rPr>
        <w:t xml:space="preserve">SECTION 11.6. </w:t>
      </w:r>
      <w:r>
        <w:rPr>
          <w:rFonts w:ascii="Times New Roman" w:hAnsi="Times New Roman"/>
          <w:sz w:val="20"/>
          <w:u w:val="single"/>
        </w:rPr>
        <w:t>Governing Law; Consent to Jurisdiction; Waiver of Jury Trial</w:t>
      </w:r>
      <w:r>
        <w:rPr>
          <w:rFonts w:ascii="Times New Roman" w:hAnsi="Times New Roman"/>
          <w:sz w:val="20"/>
        </w:rPr>
        <w:t xml:space="preserve">. THE LAW OF THE STATE OF NEW YORK SHALL GOVERN AND BE USED TO CONSTRUE THIS INDENTURE, THE NOTES AND ANY SUBSIDIARY GUARANTEES. Each of the parties to this Indenture each hereby irrevocably submits to the non-exclusive jurisdiction of any New York State or federal court sitting in the Borough of Manhattan in The City of New York in any action or proceeding arising out of or relating to the Notes, any Subsidiary Guarantees or this Indenture, and all such parties hereby irrevocably agree that all claims in respect of such action or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be heard and determined in such New York State or federal court and hereby irrevocably waive, to the fullest extent that they may legally do so, the defense of an inconvenient forum to the maintenance of such action or proceeding. EACH OF THE ISSUER, ANY SUBSIDIARY GUARANTORS AND THE TRUSTEE HEREBY IRREVOCABLY WAIVES, TO THE FULLEST EXTENT PERMITTED BY APPLICABLE LAW, ANY AND ALL RIGHT TO TRIAL BY JURY IN ANY LEGAL PROCEEDING ARISING OUT OF OR RELATING TO THIS INDENTURE, THE NOTES OR THE TRANSACTION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11.7. </w:t>
      </w:r>
      <w:r>
        <w:rPr>
          <w:rFonts w:ascii="Times New Roman" w:hAnsi="Times New Roman"/>
          <w:sz w:val="20"/>
          <w:u w:val="single"/>
        </w:rPr>
        <w:t>No Adverse Interpretation of Other Agreements</w:t>
      </w:r>
      <w:r>
        <w:rPr>
          <w:rFonts w:ascii="Times New Roman" w:hAnsi="Times New Roman"/>
          <w:sz w:val="20"/>
        </w:rPr>
        <w:t xml:space="preserve">. This Indenture may not be used to interpret any other indenture, loan or debt agreement of the Issuer or its Subsidiaries or of any other Person. Any such indenture, loan or debt agreement may not be used to interpret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11.8. </w:t>
      </w:r>
      <w:r>
        <w:rPr>
          <w:rFonts w:ascii="Times New Roman" w:hAnsi="Times New Roman"/>
          <w:sz w:val="20"/>
          <w:u w:val="single"/>
        </w:rPr>
        <w:t>Successors</w:t>
      </w:r>
      <w:r>
        <w:rPr>
          <w:rFonts w:ascii="Times New Roman" w:hAnsi="Times New Roman"/>
          <w:sz w:val="20"/>
        </w:rPr>
        <w:t xml:space="preserve">. All agreements of the Issuer and any Subsidiary Guarantors in this Indenture and the Notes and any Subsidiary Guarantees, as applicable, shall bind their respective successors and assigns. All agreements of the Trustee in this Indenture shall bind its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11.9. </w:t>
      </w:r>
      <w:r>
        <w:rPr>
          <w:rFonts w:ascii="Times New Roman" w:hAnsi="Times New Roman"/>
          <w:sz w:val="20"/>
          <w:u w:val="single"/>
        </w:rPr>
        <w:t>Severability</w:t>
      </w:r>
      <w:r>
        <w:rPr>
          <w:rFonts w:ascii="Times New Roman" w:hAnsi="Times New Roman"/>
          <w:sz w:val="20"/>
        </w:rPr>
        <w:t xml:space="preserve">. In case any provision in this Indenture or in the Notes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11.10. </w:t>
      </w:r>
      <w:r>
        <w:rPr>
          <w:rFonts w:ascii="Times New Roman" w:hAnsi="Times New Roman"/>
          <w:sz w:val="20"/>
          <w:u w:val="single"/>
        </w:rPr>
        <w:t>Execution in Counterparts</w:t>
      </w:r>
      <w:r>
        <w:rPr>
          <w:rFonts w:ascii="Times New Roman" w:hAnsi="Times New Roman"/>
          <w:sz w:val="20"/>
        </w:rPr>
        <w:t>. This Indenture may be executed in two or more counterparts, which when so executed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The words “execution,” “signed,” “signature,” “delivery,” and words of like import in or relating to this Indenture or any document to be signed in connection with this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This Indenture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w:t>
      </w:r>
      <w:r>
        <w:rPr>
          <w:rFonts w:ascii="Times New Roman" w:hAnsi="Times New Roman"/>
          <w:i/>
          <w:sz w:val="20"/>
        </w:rPr>
        <w:t>Signature Law</w:t>
      </w:r>
      <w:r>
        <w:rPr>
          <w:rFonts w:ascii="Times New Roman" w:hAnsi="Times New Roman"/>
          <w:sz w:val="20"/>
        </w:rPr>
        <w:t xml:space="preserve">”);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Indenture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Uniform Commercial Code or other Signature Law due to the character or intended character of the writings.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11.11. </w:t>
      </w:r>
      <w:r>
        <w:rPr>
          <w:rFonts w:ascii="Times New Roman" w:hAnsi="Times New Roman"/>
          <w:sz w:val="20"/>
          <w:u w:val="single"/>
        </w:rPr>
        <w:t>Table of Contents, Headings, Etc.</w:t>
      </w:r>
      <w:r>
        <w:rPr>
          <w:rFonts w:ascii="Times New Roman" w:hAnsi="Times New Roman"/>
          <w:sz w:val="20"/>
        </w:rPr>
        <w:t xml:space="preserve"> 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11.12. </w:t>
      </w:r>
      <w:r>
        <w:rPr>
          <w:rFonts w:ascii="Times New Roman" w:hAnsi="Times New Roman"/>
          <w:sz w:val="20"/>
          <w:u w:val="single"/>
        </w:rPr>
        <w:t>Acts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(or, with respect to Global Notes, otherwise in accordance with the rules and procedures of the Depositary); and, except as herein otherwise expressly provided, such action shall become effective when such instrument or instruments are delivered to the Trustee and, where it is hereby expressly required, to the Issuer. Such instrument or instruments (and the action embodied therein and evidenced thereby) are herein sometimes referred to as the “</w:t>
      </w:r>
      <w:r>
        <w:rPr>
          <w:rFonts w:ascii="Times New Roman" w:hAnsi="Times New Roman"/>
          <w:sz w:val="20"/>
          <w:u w:val="single"/>
        </w:rPr>
        <w:t>Act</w:t>
      </w:r>
      <w:r>
        <w:rPr>
          <w:rFonts w:ascii="Times New Roman" w:hAnsi="Times New Roman"/>
          <w:sz w:val="20"/>
        </w:rPr>
        <w:t xml:space="preserve">” of Holders signing such instrument or instruments. Proof of execution of any such instrument or of a writing appointing any such agent shall be sufficient for any purpose of this Indenture and conclusive in favor of the Trustee and the Issuer, if made in the manner provided in this Section 11.12. </w:t>
      </w:r>
    </w:p>
    <w:p>
      <w:pPr>
        <w:pStyle w:val="TextBody"/>
        <w:bidi w:val="0"/>
        <w:spacing w:before="120" w:after="0"/>
        <w:jc w:val="left"/>
        <w:rPr>
          <w:rFonts w:ascii="Times New Roman" w:hAnsi="Times New Roman"/>
          <w:sz w:val="20"/>
        </w:rPr>
      </w:pPr>
      <w:r>
        <w:rPr>
          <w:rFonts w:ascii="Times New Roman" w:hAnsi="Times New Roman"/>
          <w:sz w:val="20"/>
        </w:rPr>
        <w:t xml:space="preserve">(b) The fact and date of the execution by any Person of any such instrument or writing may be proved (1) by the affidavit of a witness of such execution or by a certificate of a notary public or other officer authorized by law to take acknowledgments of deeds, certifying that the individual signing such instrument or writing acknowledged to such officer the execution thereof or (2) in any other manner reasonably deemed sufficient by the Trustee.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 </w:t>
      </w:r>
    </w:p>
    <w:p>
      <w:pPr>
        <w:pStyle w:val="TextBody"/>
        <w:bidi w:val="0"/>
        <w:spacing w:before="120" w:after="0"/>
        <w:jc w:val="left"/>
        <w:rPr>
          <w:rFonts w:ascii="Times New Roman" w:hAnsi="Times New Roman"/>
          <w:sz w:val="20"/>
        </w:rPr>
      </w:pPr>
      <w:r>
        <w:rPr>
          <w:rFonts w:ascii="Times New Roman" w:hAnsi="Times New Roman"/>
          <w:sz w:val="20"/>
        </w:rPr>
        <w:t xml:space="preserve">(c) The ownership of Notes shall be proved by the register maintained by the Registrar hereunder. </w:t>
      </w:r>
    </w:p>
    <w:p>
      <w:pPr>
        <w:pStyle w:val="TextBody"/>
        <w:bidi w:val="0"/>
        <w:spacing w:before="120" w:after="0"/>
        <w:jc w:val="left"/>
        <w:rPr>
          <w:rFonts w:ascii="Times New Roman" w:hAnsi="Times New Roman"/>
          <w:sz w:val="20"/>
        </w:rPr>
      </w:pPr>
      <w:r>
        <w:rPr>
          <w:rFonts w:ascii="Times New Roman" w:hAnsi="Times New Roman"/>
          <w:sz w:val="20"/>
        </w:rPr>
        <w:t xml:space="preserve">(d) Any request, demand, authorization, direction, notice, consent, waiver or other Act of the Holder of any Note shall bind every future Holder of the same Note and the Holder of every Note issued upon the registration of transfer thereof or in exchange therefor or in lieu thereof in respect of anything done, omitted or suffered to be done by the Trustee or the Issuer in reliance thereon, whether or not notation of such action is made upon such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the Issuer shall solicit from the Holders any request, demand, authorization, direction, notice, consent, waiver or other Act, the Issuer may, at its option, by or pursuant to an Officer’s Certificate, fix in advance a record date for the determination of Holders entitled to give such request, demand, authorization, direction, notice, consent, waiver or other Act, but the Issuer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Notes have authorized or agreed or consented to such request, demand, authorization, direction, notice, consent, waiver or other Act, and for that purpose the outstanding Notes shall be computed as of such record date; </w:t>
      </w:r>
      <w:r>
        <w:rPr>
          <w:rFonts w:ascii="Times New Roman" w:hAnsi="Times New Roman"/>
          <w:sz w:val="20"/>
          <w:u w:val="single"/>
        </w:rPr>
        <w:t>provided</w:t>
      </w:r>
      <w:r>
        <w:rPr>
          <w:rFonts w:ascii="Times New Roman" w:hAnsi="Times New Roman"/>
          <w:sz w:val="20"/>
        </w:rPr>
        <w:t xml:space="preserve"> that no such authorization, agreement or consent by the Holders on such record date shall be deemed effective unless it shall become effective pursuant to the provisions of this Indenture not later than 11 months after the record date. </w:t>
      </w:r>
    </w:p>
    <w:p>
      <w:pPr>
        <w:pStyle w:val="TextBody"/>
        <w:bidi w:val="0"/>
        <w:spacing w:before="120" w:after="0"/>
        <w:jc w:val="left"/>
        <w:rPr>
          <w:rFonts w:ascii="Times New Roman" w:hAnsi="Times New Roman"/>
          <w:sz w:val="20"/>
        </w:rPr>
      </w:pPr>
      <w:r>
        <w:rPr>
          <w:rFonts w:ascii="Times New Roman" w:hAnsi="Times New Roman"/>
          <w:sz w:val="20"/>
        </w:rPr>
        <w:t xml:space="preserve">(f) The Trustee may, but shall not be obligated to, set any day as a record date for the purpose of determining the Holders entitled to join in the giving or making of (1) any notice of default under Section 6.1, (2) any declaration of acceleration referred to in Section 6.2, (3) any direction referred to in Section 6.5 or (4) any request to pursue a remedy as permitted in Section 6.6. If any record date is set pursuant to this Section 11.2(f), the Holders on such record date, and no other Holders, shall be entitled to join in such notice, declaration, request or direction, whether or not such Holders remain Holders after such record date; </w:t>
      </w:r>
      <w:r>
        <w:rPr>
          <w:rFonts w:ascii="Times New Roman" w:hAnsi="Times New Roman"/>
          <w:sz w:val="20"/>
          <w:u w:val="single"/>
        </w:rPr>
        <w:t>provided</w:t>
      </w:r>
      <w:r>
        <w:rPr>
          <w:rFonts w:ascii="Times New Roman" w:hAnsi="Times New Roman"/>
          <w:sz w:val="20"/>
        </w:rPr>
        <w:t xml:space="preserve"> that no such action shall be effective hereunder unless made, given or taken on or prior to the applicable Expiration Date by Holders of the requisite principal amount of Notes or each affected Holder, as applicable, on such record date. Promptly after any record date is set pursuant to this Section 11.2(f), the Trustee, at the Issuer’s expense, shall cause notice of such record date, the proposed action by Holders and the applicable Expiration Date to be given to the Issuer and to each Holder in the manner set forth in Section 11.1. </w:t>
      </w:r>
    </w:p>
    <w:p>
      <w:pPr>
        <w:pStyle w:val="TextBody"/>
        <w:bidi w:val="0"/>
        <w:spacing w:before="120" w:after="0"/>
        <w:jc w:val="left"/>
        <w:rPr>
          <w:rFonts w:ascii="Times New Roman" w:hAnsi="Times New Roman"/>
          <w:sz w:val="20"/>
        </w:rPr>
      </w:pPr>
      <w:r>
        <w:rPr>
          <w:rFonts w:ascii="Times New Roman" w:hAnsi="Times New Roman"/>
          <w:sz w:val="20"/>
        </w:rPr>
        <w:t xml:space="preserve">(g) 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Section 11.2(g) shall have the same effect as if given or taken by separate Holders of each such different part. </w:t>
      </w:r>
    </w:p>
    <w:p>
      <w:pPr>
        <w:pStyle w:val="TextBody"/>
        <w:bidi w:val="0"/>
        <w:spacing w:before="120" w:after="0"/>
        <w:jc w:val="left"/>
        <w:rPr>
          <w:rFonts w:ascii="Times New Roman" w:hAnsi="Times New Roman"/>
          <w:sz w:val="20"/>
        </w:rPr>
      </w:pPr>
      <w:r>
        <w:rPr>
          <w:rFonts w:ascii="Times New Roman" w:hAnsi="Times New Roman"/>
          <w:sz w:val="20"/>
        </w:rPr>
        <w:t xml:space="preserve">(h) Without limiting the generality of the foregoing, a Holder, including a Depositary that is the Holder of a Global Note, may make, give or take, by a proxy or proxies duly appointed in writing, any request, demand, authorization, direction, notice, consent, waiver or other action provided in this Indenture to be made, given or taken by Holders, and a Depositary that is the Holder of a Global Note may provide its proxy or proxies to the beneficial owners of interests in any such Global Note through such Depositary’s standing instructions and customary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Issuer may fix a record date for the purpose of determining the Persons who are beneficial owners of interests in any Global Note held by a Depositary entitled under the procedures of such Depositary, if any, to make, give or take, by a proxy or proxies duly appointed in writing, any request, demand, authorization, direction, notice, consent, waiver or other action provided in this Indenture to be made, given or taken by Holders; </w:t>
      </w:r>
      <w:r>
        <w:rPr>
          <w:rFonts w:ascii="Times New Roman" w:hAnsi="Times New Roman"/>
          <w:sz w:val="20"/>
          <w:u w:val="single"/>
        </w:rPr>
        <w:t>provided</w:t>
      </w:r>
      <w:r>
        <w:rPr>
          <w:rFonts w:ascii="Times New Roman" w:hAnsi="Times New Roman"/>
          <w:sz w:val="20"/>
        </w:rPr>
        <w:t xml:space="preserve"> that if such a record date is fixed, only the beneficial owners of interests in such Global Note on such record date or their duly appointed proxy or proxies shall be entitled to make, give or take such request, demand, authorization, direction, notice, consent, waiver or other action, whether or not such beneficial owners remain beneficial owners of interests in such Global Note after such record date. No such request, demand, authorization, direction, notice, consent, waiver or other action shall be effective hereunder unless made, given or taken on or prior to the applicable Expiration Date. </w:t>
      </w:r>
    </w:p>
    <w:p>
      <w:pPr>
        <w:pStyle w:val="TextBody"/>
        <w:bidi w:val="0"/>
        <w:spacing w:before="120" w:after="0"/>
        <w:jc w:val="left"/>
        <w:rPr>
          <w:rFonts w:ascii="Times New Roman" w:hAnsi="Times New Roman"/>
          <w:sz w:val="20"/>
        </w:rPr>
      </w:pPr>
      <w:r>
        <w:rPr>
          <w:rFonts w:ascii="Times New Roman" w:hAnsi="Times New Roman"/>
          <w:sz w:val="20"/>
        </w:rPr>
        <w:t>(j) With respect to any record date set pursuant to this Section 11.12, the party hereto that sets such record date may designate any day as the “</w:t>
      </w:r>
      <w:r>
        <w:rPr>
          <w:rFonts w:ascii="Times New Roman" w:hAnsi="Times New Roman"/>
          <w:i/>
          <w:sz w:val="20"/>
        </w:rPr>
        <w:t>Expiration Date</w:t>
      </w:r>
      <w:r>
        <w:rPr>
          <w:rFonts w:ascii="Times New Roman" w:hAnsi="Times New Roman"/>
          <w:sz w:val="20"/>
        </w:rPr>
        <w:t xml:space="preserve">” and from time to time may change the Expiration Date to any earlier or later day; </w:t>
      </w:r>
      <w:r>
        <w:rPr>
          <w:rFonts w:ascii="Times New Roman" w:hAnsi="Times New Roman"/>
          <w:sz w:val="20"/>
          <w:u w:val="single"/>
        </w:rPr>
        <w:t>provided</w:t>
      </w:r>
      <w:r>
        <w:rPr>
          <w:rFonts w:ascii="Times New Roman" w:hAnsi="Times New Roman"/>
          <w:sz w:val="20"/>
        </w:rPr>
        <w:t xml:space="preserve"> that no such change shall be effective unless notice of the proposed new Expiration Date is given to the other party hereto in writing, and to each Holder of Notes in the manner set forth in Section 11.1, on or prior to both the existing and the new Expiration Date. If an Expiration Date is not designated with respect to any record date set pursuant to this Section 11.12, the party hereto which set such record date shall be deemed to have initially designated the 90th day after such record date as the Expiration Date with respect thereto, subject to its right to change the Expiration Date as provided in this clause (j). </w:t>
      </w:r>
    </w:p>
    <w:p>
      <w:pPr>
        <w:pStyle w:val="TextBody"/>
        <w:bidi w:val="0"/>
        <w:spacing w:before="240" w:after="0"/>
        <w:jc w:val="left"/>
        <w:rPr>
          <w:rFonts w:ascii="Times New Roman" w:hAnsi="Times New Roman"/>
          <w:sz w:val="20"/>
        </w:rPr>
      </w:pPr>
      <w:r>
        <w:rPr>
          <w:rFonts w:ascii="Times New Roman" w:hAnsi="Times New Roman"/>
          <w:sz w:val="20"/>
        </w:rPr>
        <w:t xml:space="preserve">SECTION 11.13. </w:t>
      </w:r>
      <w:r>
        <w:rPr>
          <w:rFonts w:ascii="Times New Roman" w:hAnsi="Times New Roman"/>
          <w:sz w:val="20"/>
          <w:u w:val="single"/>
        </w:rPr>
        <w:t>Force Majeure</w:t>
      </w:r>
      <w:r>
        <w:rPr>
          <w:rFonts w:ascii="Times New Roman" w:hAnsi="Times New Roman"/>
          <w:sz w:val="20"/>
        </w:rPr>
        <w:t xml:space="preserve">. In no event shall the Trustee or any Agent be responsible or liable for any failure or delay in the performance of its obligations hereunder arising out of or caused by, directly or indirectly, forces beyond its control, including, without limitation, (i) any act or provision of any present or future law or regulation or governmental authority, (ii) any act of God, (iii) natural disaster, (iv) war, (v) terrorism, (vi) civil unrest, (vii) national emergency, (viii) malware or ransomware or (ix) unavailability of the Federal Reserve Bank wire or telex system or other wire or other funds transfer systems, or (x) unavailability of any securities clearing system, it being understood that the Trustee and each Agent shall use reasonable efforts which are consistent with accepted practices in the U.S.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11.14. </w:t>
      </w:r>
      <w:r>
        <w:rPr>
          <w:rFonts w:ascii="Times New Roman" w:hAnsi="Times New Roman"/>
          <w:sz w:val="20"/>
          <w:u w:val="single"/>
        </w:rPr>
        <w:t>Legal Holidays</w:t>
      </w:r>
      <w:r>
        <w:rPr>
          <w:rFonts w:ascii="Times New Roman" w:hAnsi="Times New Roman"/>
          <w:sz w:val="20"/>
        </w:rPr>
        <w:t xml:space="preserve">. If any payment date with respect to the Notes falls on a day that is not a Business Day, the payment to be made on such payment date will be made on the next succeeding Business Day with the same force and effect as if made on such payment date, and no additional interest will accrue solely as a result of such delayed 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11.15. </w:t>
      </w:r>
      <w:r>
        <w:rPr>
          <w:rFonts w:ascii="Times New Roman" w:hAnsi="Times New Roman"/>
          <w:sz w:val="20"/>
          <w:u w:val="single"/>
        </w:rPr>
        <w:t>No Qualification Under the Trust Indenture Act.</w:t>
      </w:r>
      <w:r>
        <w:rPr>
          <w:rFonts w:ascii="Times New Roman" w:hAnsi="Times New Roman"/>
          <w:sz w:val="20"/>
        </w:rPr>
        <w:t xml:space="preserve"> This Indenture is not qualified under the TIA and, accordingly, the TIA shall not apply to or in any way govern the terms of this Indenture, except to the limited extent specified in Section 7.3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11.16. </w:t>
      </w:r>
      <w:r>
        <w:rPr>
          <w:rFonts w:ascii="Times New Roman" w:hAnsi="Times New Roman"/>
          <w:sz w:val="20"/>
          <w:u w:val="single"/>
        </w:rPr>
        <w:t>USA PATRIOT Act</w:t>
      </w:r>
      <w:r>
        <w:rPr>
          <w:rFonts w:ascii="Times New Roman" w:hAnsi="Times New Roman"/>
          <w:sz w:val="20"/>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The Issuer agrees that it will provide the Trustee with information about the Issuer as the Trustee may reasonably request in order for the Trustee to satisfy the requirements of the USA PATRIOT Act.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Indenture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4"/>
        <w:gridCol w:w="60"/>
        <w:gridCol w:w="657"/>
        <w:gridCol w:w="60"/>
        <w:gridCol w:w="2941"/>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xml:space="preserve">NEWELL BRANDS INC. </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Westreich</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283"/>
              <w:jc w:val="left"/>
              <w:rPr/>
            </w:pPr>
            <w:r>
              <w:rPr/>
              <w:t>Robert Westreich</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283"/>
              <w:jc w:val="left"/>
              <w:rPr/>
            </w:pPr>
            <w:r>
              <w:rPr/>
              <w:t>Senior Vice President, Treasurer and Chief Tax Officer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U.S. BANK TRUST COMPANY, NATIONAL</w:t>
            </w:r>
          </w:p>
        </w:tc>
      </w:tr>
      <w:tr>
        <w:trPr/>
        <w:tc>
          <w:tcPr>
            <w:tcW w:w="4082" w:type="dxa"/>
            <w:gridSpan w:val="5"/>
            <w:tcBorders/>
          </w:tcPr>
          <w:p>
            <w:pPr>
              <w:pStyle w:val="TableContents"/>
              <w:bidi w:val="0"/>
              <w:spacing w:before="0" w:after="283"/>
              <w:jc w:val="left"/>
              <w:rPr/>
            </w:pPr>
            <w:r>
              <w:rPr/>
              <w:t>ASSOCIATION, as Trustee</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Felicia H. Powell</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283"/>
              <w:jc w:val="left"/>
              <w:rPr/>
            </w:pPr>
            <w:r>
              <w:rPr/>
              <w:t>Felicia H. Powell</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NOTE </w:t>
      </w:r>
    </w:p>
    <w:p>
      <w:pPr>
        <w:pStyle w:val="TextBody"/>
        <w:bidi w:val="0"/>
        <w:spacing w:before="240" w:after="0"/>
        <w:jc w:val="center"/>
        <w:rPr>
          <w:rFonts w:ascii="Times New Roman" w:hAnsi="Times New Roman"/>
          <w:sz w:val="20"/>
        </w:rPr>
      </w:pPr>
      <w:r>
        <w:rPr>
          <w:rFonts w:ascii="Times New Roman" w:hAnsi="Times New Roman"/>
          <w:sz w:val="20"/>
        </w:rPr>
        <w:t xml:space="preserve">(Face of 6.250% Senior Note) </w:t>
      </w:r>
    </w:p>
    <w:p>
      <w:pPr>
        <w:pStyle w:val="TextBody"/>
        <w:bidi w:val="0"/>
        <w:spacing w:before="0" w:after="0"/>
        <w:jc w:val="center"/>
        <w:rPr>
          <w:rFonts w:ascii="Times New Roman" w:hAnsi="Times New Roman"/>
          <w:sz w:val="20"/>
        </w:rPr>
      </w:pPr>
      <w:r>
        <w:rPr>
          <w:rFonts w:ascii="Times New Roman" w:hAnsi="Times New Roman"/>
          <w:sz w:val="20"/>
        </w:rPr>
        <w:t xml:space="preserve">6.250% Senior Notes due 2031 </w:t>
      </w:r>
    </w:p>
    <w:p>
      <w:pPr>
        <w:pStyle w:val="TextBody"/>
        <w:bidi w:val="0"/>
        <w:spacing w:before="240" w:after="0"/>
        <w:jc w:val="center"/>
        <w:rPr>
          <w:rFonts w:ascii="Times New Roman" w:hAnsi="Times New Roman"/>
          <w:sz w:val="20"/>
        </w:rPr>
      </w:pPr>
      <w:r>
        <w:rPr>
          <w:rFonts w:ascii="Times New Roman" w:hAnsi="Times New Roman"/>
          <w:sz w:val="20"/>
        </w:rPr>
        <w:t xml:space="preserve">[Global Note Legend]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 </w:t>
      </w:r>
    </w:p>
    <w:p>
      <w:pPr>
        <w:pStyle w:val="TextBody"/>
        <w:bidi w:val="0"/>
        <w:spacing w:before="480" w:after="0"/>
        <w:jc w:val="center"/>
        <w:rPr>
          <w:rFonts w:ascii="Times New Roman" w:hAnsi="Times New Roman"/>
          <w:sz w:val="20"/>
        </w:rPr>
      </w:pPr>
      <w:r>
        <w:rPr>
          <w:rFonts w:ascii="Times New Roman" w:hAnsi="Times New Roman"/>
          <w:sz w:val="20"/>
        </w:rPr>
        <w:t xml:space="preserve">[Restricted Notes Legend] </w:t>
      </w:r>
    </w:p>
    <w:p>
      <w:pPr>
        <w:pStyle w:val="TextBody"/>
        <w:bidi w:val="0"/>
        <w:spacing w:before="240" w:after="0"/>
        <w:jc w:val="left"/>
        <w:rPr>
          <w:rFonts w:ascii="Times New Roman" w:hAnsi="Times New Roman"/>
          <w:sz w:val="20"/>
        </w:rPr>
      </w:pPr>
      <w:r>
        <w:rPr>
          <w:rFonts w:ascii="Times New Roman" w:hAnsi="Times New Roman"/>
          <w:sz w:val="20"/>
        </w:rPr>
        <w:t xml:space="preserve">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[IN THE CASE OF RULE 144A NOTES: AT LEAST SIX MONTHS AFTER THE LATER OF THE ORIGINAL ISSUE DATE HEREOF, THE ORIGINAL ISSUE DATE OF THE ISSUANCE OF ANY ADDITIONAL NOTES AND THE LAST DATE ON WHICH THE ISSUER OR ANY AFFILIATE OF THE ISSUER WAS THE OWNER OF THIS SECURITY (OR ANY PREDECESSOR OF SUCH SECURITY),] [IN THE CASE OF REGULATION S NOTES: 40 DAYS AFTER THE LATER OF THE ORIGINAL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ISSUE DATE HEREOF, THE ORIGINAL ISSUE DATE OF THE ISSUANCE OF ANY ADDITIONAL NOTES AND THE DATE ON WHICH THIS SECURITY (OR ANY PREDECESSOR OF SUCH SECURITY) WAS FIRST OFFERED TO PERSONS OTHER THAN DISTRIBUTORS (AS DEFINED IN RULE 902 OF REGULATION S) IN RELIANCE ON REGULATION S], ONLY (A) TO THE COMPANY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501(a)(1), (2), (3) OR (7) UNDER THE SECURITIES ACT THAT IS NOT A QUALIFIED INSTITUTIONAL BUYER AND THAT IS PURCHASING FOR ITS OWN ACCOUNT OR FOR THE ACCOUNT OF ANOTHER INSTITUTIONAL ACCREDITED INVESTOR, IN EACH CASE IN A MINIMUM PRINCIPAL AMOUNT OF $250,000 OF SECURITIES OR (F) PURSUANT TO ANOTHER AVAILABLE EXEMPTION FROM THE REGISTRATION REQUIREMENTS OF THE SECURITIES ACT, SUBJECT TO THE COMPANY’S AND THE TRUSTEE’S RIGHT PRIOR TO ANY SUCH OFFER, SALE OR TRANSFER PURSUANT TO CLAUSES (D), (E) OR (F) TO REQUIRE THE DELIVERY OF AN OPINION OF COUNSEL, CERTIFICATION AND/ OR OTHER INFORMATION SATISFACTORY TO EACH OF THEM. THIS LEGEND WILL BE REMOVED UPON THE REQUEST OF THE HOLDER AFTER THE RESALE RESTRICTION TERMINATION DATE. [IN THE CASE OF REGULATION S NOTES: BY ITS ACQUISITION HEREOF, THE HOLDER HEREOF REPRESENTS THAT IT IS NOT A U.S. PERSON NOR IS IT PURCHASING FOR THE ACCOUNT OF A U.S. PERSON AND IS ACQUIRING THIS SECURITY IN AN OFFSHORE TRANSACTION IN ACCORDANCE WITH REGULATION 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BY ITS ACQUISITION AND HOLDING OF THIS SECURITY OR ANY INTEREST HEREIN, THE HOLDER THEREOF WILL BE DEEMED TO HAVE REPRESENTED AND WARRANTED THAT EITHER (1) SUCH HOLDER IS NOT, AND IS NOT INVESTING IN THIS NOTE OR ANY INTEREST HEREIN ON BEHALF OF (W) AN “EMPLOYEE BENEFIT PLAN” WITHIN THE MEANING OF SECTION 3(3) OF THE U.S. EMPLOYEE RETIREMENT INCOME SECURITY ACT OF 1974, AS AMENDED (“ERISA”) THAT IS SUBJECT TO TITLE I OF ERISA, (X) A PLAN, INDIVIDUAL RETIREMENT ACCOUNT OR OTHER ARRANGEMENT THAT IS SUBJECT TO SECTION 4975 OF THE U.S. INTERNAL REVENUE CODE OF 1986, AS AMENDED (THE “CODE”), (Y) A PLAN OR OTHER ARRANGEMENT THAT IS SUBJECT TO ANY U.S. OR NON-U.S. FEDERAL, STATE, LOCAL OR OTHER LAWS OR REGULATIONS THAT ARE SIMILAR TO THE FIDUCIARY RESPONSIBILITY OR PROHIBITED TRANSACTION PROVISIONS OF TITLE I OF ERISA AND/OR SECTION 4975 OF THE CODE (COLLECTIVELY, “SIMILAR LAWS”), OR (Z) ANY ENTITY WHOSE UNDERLYING ASSETS ARE CONSIDERED TO INCLUDE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ASSETS OF ANY OF THE FOREGOING DESCRIBED IN CLAUSE (W), (X) OR (Y) ABOVE, PURSUANT TO ERISA OR OTHER APPLICABLE LAW, OR (2) ITS ACQUISITION, HOLDING AND SUBSEQUENT DISPOSITION OF THIS SECURITY OR ANY INTEREST HEREIN WILL NOT CONSTITUTE OR RESULT IN A NON-EXEMPT PROHIBITED TRANSACTION UNDER SECTION 406 OF ERISA OR SECTION 4975 OF THE CODE OR A SIMILAR VIOLATION UNDER ANY APPLICABLE SIMILAR LAWS. THE HOLDER FURTHER WILL BE DEEMED TO HAVE REPRESENTED AND WARRANTED THAT NONE OF THE ISSUER, THE TRUSTEE, THE INITIAL PURCHASERS OR ANY OF THEIR RESPECTIVE AFFILIATES IS ACTING OR WILL ACT AS A FIDUCIARY OF SUCH PURCHASER OR TRANSFEREE IN CONNECTION WITH THE ACQUISITION AND HOLDING OF NOTES OR ANY INTEREST THEREIN (UNLESS A STATUTORY OR ADMINISTRATIVE EXEMPTION APPLIES (ALL OF THE APPLICABLE CONDITIONS OF WHICH ARE SATISFIED) OR THE TRANSACTION IS NOT OTHERWISE PROHIBITED).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w:t>
      </w:r>
    </w:p>
    <w:p>
      <w:pPr>
        <w:pStyle w:val="TextBody"/>
        <w:bidi w:val="0"/>
        <w:spacing w:before="240" w:after="0"/>
        <w:jc w:val="right"/>
        <w:rPr>
          <w:rFonts w:ascii="Times New Roman" w:hAnsi="Times New Roman"/>
          <w:sz w:val="20"/>
        </w:rPr>
      </w:pPr>
      <w:r>
        <w:rPr>
          <w:rFonts w:ascii="Times New Roman" w:hAnsi="Times New Roman"/>
          <w:sz w:val="20"/>
        </w:rPr>
        <w:t xml:space="preserve">CUSIP NO.1 </w:t>
      </w:r>
    </w:p>
    <w:p>
      <w:pPr>
        <w:pStyle w:val="TextBody"/>
        <w:bidi w:val="0"/>
        <w:spacing w:before="0" w:after="0"/>
        <w:jc w:val="right"/>
        <w:rPr>
          <w:rFonts w:ascii="Times New Roman" w:hAnsi="Times New Roman"/>
          <w:sz w:val="20"/>
        </w:rPr>
      </w:pPr>
      <w:r>
        <w:rPr>
          <w:rFonts w:ascii="Times New Roman" w:hAnsi="Times New Roman"/>
          <w:sz w:val="20"/>
        </w:rPr>
        <w:t xml:space="preserve">ISIN </w:t>
      </w:r>
    </w:p>
    <w:p>
      <w:pPr>
        <w:pStyle w:val="TextBody"/>
        <w:bidi w:val="0"/>
        <w:spacing w:before="240" w:after="0"/>
        <w:jc w:val="left"/>
        <w:rPr>
          <w:rFonts w:ascii="Times New Roman" w:hAnsi="Times New Roman"/>
          <w:sz w:val="20"/>
        </w:rPr>
      </w:pPr>
      <w:r>
        <w:rPr>
          <w:rFonts w:ascii="Times New Roman" w:hAnsi="Times New Roman"/>
          <w:sz w:val="20"/>
        </w:rPr>
        <w:t xml:space="preserve">Newell Brands Inc., a Delaware corporation, and any successor and assign thereto, promises to pay to Cede &amp; Co. or registered assigns, the principal sum of ________ [(as may be increased or decreased as set forth on the Schedule of Increases and Decreases attached hereto)]2 on August 15, 2031.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February 15 and August 15, beginning [    ] </w:t>
      </w:r>
    </w:p>
    <w:p>
      <w:pPr>
        <w:pStyle w:val="TextBody"/>
        <w:bidi w:val="0"/>
        <w:spacing w:before="240" w:after="0"/>
        <w:jc w:val="left"/>
        <w:rPr>
          <w:rFonts w:ascii="Times New Roman" w:hAnsi="Times New Roman"/>
          <w:sz w:val="20"/>
        </w:rPr>
      </w:pPr>
      <w:r>
        <w:rPr>
          <w:rFonts w:ascii="Times New Roman" w:hAnsi="Times New Roman"/>
          <w:sz w:val="20"/>
        </w:rPr>
        <w:t xml:space="preserve">Record Dates: February 1 and August 1 (whether or not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further provisions of this Note set forth on the reverse hereof, which further provisions shall for all purposes have the same effect as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or electronic signature, this Note shall not be entitled to any benefits under the Indenture referred to on the reverse hereof or be valid or obligatory for any purpose.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144A Note CUSIP: 651229 BH8 </w:t>
            </w:r>
          </w:p>
        </w:tc>
      </w:tr>
    </w:tbl>
    <w:p>
      <w:pPr>
        <w:pStyle w:val="TextBody"/>
        <w:bidi w:val="0"/>
        <w:spacing w:before="0" w:after="0"/>
        <w:jc w:val="left"/>
        <w:rPr>
          <w:rFonts w:ascii="Times New Roman" w:hAnsi="Times New Roman"/>
          <w:sz w:val="20"/>
        </w:rPr>
      </w:pPr>
      <w:r>
        <w:rPr>
          <w:rFonts w:ascii="Times New Roman" w:hAnsi="Times New Roman"/>
          <w:sz w:val="20"/>
        </w:rPr>
        <w:t xml:space="preserve">Rule 144A Note ISIN: US651229BH88 </w:t>
      </w:r>
    </w:p>
    <w:p>
      <w:pPr>
        <w:pStyle w:val="TextBody"/>
        <w:bidi w:val="0"/>
        <w:spacing w:before="0" w:after="0"/>
        <w:jc w:val="left"/>
        <w:rPr>
          <w:rFonts w:ascii="Times New Roman" w:hAnsi="Times New Roman"/>
          <w:sz w:val="20"/>
        </w:rPr>
      </w:pPr>
      <w:r>
        <w:rPr>
          <w:rFonts w:ascii="Times New Roman" w:hAnsi="Times New Roman"/>
          <w:sz w:val="20"/>
        </w:rPr>
        <w:t xml:space="preserve">Regulation S Note CUSIP: U6415R AF0 </w:t>
      </w:r>
    </w:p>
    <w:p>
      <w:pPr>
        <w:pStyle w:val="TextBody"/>
        <w:bidi w:val="0"/>
        <w:spacing w:before="0" w:after="0"/>
        <w:jc w:val="left"/>
        <w:rPr>
          <w:rFonts w:ascii="Times New Roman" w:hAnsi="Times New Roman"/>
          <w:sz w:val="20"/>
        </w:rPr>
      </w:pPr>
      <w:r>
        <w:rPr>
          <w:rFonts w:ascii="Times New Roman" w:hAnsi="Times New Roman"/>
          <w:sz w:val="20"/>
        </w:rPr>
        <w:t xml:space="preserve">Regulation S Note ISIN: USU6415RAF02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August 19,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08"/>
        <w:gridCol w:w="94"/>
        <w:gridCol w:w="2980"/>
      </w:tblGrid>
      <w:tr>
        <w:trPr/>
        <w:tc>
          <w:tcPr>
            <w:tcW w:w="1008"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NEWELL BRANDS INC.</w:t>
            </w:r>
          </w:p>
        </w:tc>
      </w:tr>
      <w:tr>
        <w:trPr>
          <w:trHeight w:val="240" w:hRule="atLeast"/>
        </w:trPr>
        <w:tc>
          <w:tcPr>
            <w:tcW w:w="1008" w:type="dxa"/>
            <w:tcBorders/>
            <w:vAlign w:val="center"/>
          </w:tcPr>
          <w:p>
            <w:pPr>
              <w:pStyle w:val="TableContents"/>
              <w:bidi w:val="0"/>
              <w:spacing w:before="0" w:after="283"/>
              <w:jc w:val="left"/>
              <w:rPr>
                <w:sz w:val="4"/>
                <w:szCs w:val="4"/>
              </w:rPr>
            </w:pPr>
            <w:r>
              <w:rPr>
                <w:sz w:val="4"/>
                <w:szCs w:val="4"/>
              </w:rPr>
            </w:r>
          </w:p>
        </w:tc>
        <w:tc>
          <w:tcPr>
            <w:tcW w:w="3074" w:type="dxa"/>
            <w:gridSpan w:val="2"/>
            <w:tcBorders/>
            <w:vAlign w:val="center"/>
          </w:tcPr>
          <w:p>
            <w:pPr>
              <w:pStyle w:val="TableContents"/>
              <w:bidi w:val="0"/>
              <w:spacing w:before="0" w:after="283"/>
              <w:jc w:val="left"/>
              <w:rPr>
                <w:sz w:val="4"/>
                <w:szCs w:val="4"/>
              </w:rPr>
            </w:pPr>
            <w:r>
              <w:rPr>
                <w:sz w:val="4"/>
                <w:szCs w:val="4"/>
              </w:rPr>
            </w:r>
          </w:p>
        </w:tc>
      </w:tr>
      <w:tr>
        <w:trPr/>
        <w:tc>
          <w:tcPr>
            <w:tcW w:w="1008" w:type="dxa"/>
            <w:tcBorders/>
          </w:tcPr>
          <w:p>
            <w:pPr>
              <w:pStyle w:val="TableContents"/>
              <w:bidi w:val="0"/>
              <w:spacing w:before="0" w:after="283"/>
              <w:jc w:val="left"/>
              <w:rPr/>
            </w:pPr>
            <w:r>
              <w:rPr/>
              <w:t>By:</w:t>
            </w:r>
          </w:p>
        </w:tc>
        <w:tc>
          <w:tcPr>
            <w:tcW w:w="94" w:type="dxa"/>
            <w:tcBorders/>
            <w:vAlign w:val="bottom"/>
          </w:tcPr>
          <w:p>
            <w:pPr>
              <w:pStyle w:val="TableContents"/>
              <w:bidi w:val="0"/>
              <w:spacing w:before="0" w:after="283"/>
              <w:jc w:val="left"/>
              <w:rPr/>
            </w:pPr>
            <w:r>
              <w:rPr/>
              <w:t> </w:t>
            </w:r>
          </w:p>
        </w:tc>
        <w:tc>
          <w:tcPr>
            <w:tcW w:w="2980" w:type="dxa"/>
            <w:tcBorders/>
          </w:tcPr>
          <w:p>
            <w:pPr>
              <w:pStyle w:val="TableContents"/>
              <w:pBdr>
                <w:bottom w:val="single" w:sz="2" w:space="1" w:color="000000"/>
              </w:pBdr>
              <w:bidi w:val="0"/>
              <w:spacing w:before="0" w:after="20"/>
              <w:jc w:val="left"/>
              <w:rPr/>
            </w:pPr>
            <w:r>
              <w:rPr/>
              <w:t> </w:t>
            </w:r>
          </w:p>
        </w:tc>
      </w:tr>
      <w:tr>
        <w:trPr/>
        <w:tc>
          <w:tcPr>
            <w:tcW w:w="1008" w:type="dxa"/>
            <w:tcBorders/>
          </w:tcPr>
          <w:p>
            <w:pPr>
              <w:pStyle w:val="TableContents"/>
              <w:bidi w:val="0"/>
              <w:spacing w:before="0" w:after="283"/>
              <w:jc w:val="left"/>
              <w:rPr/>
            </w:pPr>
            <w:r>
              <w:rPr/>
              <w:t>Name:</w:t>
            </w:r>
          </w:p>
        </w:tc>
        <w:tc>
          <w:tcPr>
            <w:tcW w:w="94" w:type="dxa"/>
            <w:tcBorders/>
            <w:vAlign w:val="bottom"/>
          </w:tcPr>
          <w:p>
            <w:pPr>
              <w:pStyle w:val="TableContents"/>
              <w:bidi w:val="0"/>
              <w:spacing w:before="0" w:after="283"/>
              <w:jc w:val="left"/>
              <w:rPr/>
            </w:pPr>
            <w:r>
              <w:rPr/>
              <w:t> </w:t>
            </w:r>
          </w:p>
        </w:tc>
        <w:tc>
          <w:tcPr>
            <w:tcW w:w="2980" w:type="dxa"/>
            <w:tcBorders/>
          </w:tcPr>
          <w:p>
            <w:pPr>
              <w:pStyle w:val="TableContents"/>
              <w:bidi w:val="0"/>
              <w:spacing w:before="0" w:after="283"/>
              <w:jc w:val="left"/>
              <w:rPr>
                <w:sz w:val="4"/>
                <w:szCs w:val="4"/>
              </w:rPr>
            </w:pPr>
            <w:r>
              <w:rPr>
                <w:sz w:val="4"/>
                <w:szCs w:val="4"/>
              </w:rPr>
            </w:r>
          </w:p>
        </w:tc>
      </w:tr>
      <w:tr>
        <w:trPr/>
        <w:tc>
          <w:tcPr>
            <w:tcW w:w="1008" w:type="dxa"/>
            <w:tcBorders/>
          </w:tcPr>
          <w:p>
            <w:pPr>
              <w:pStyle w:val="TableContents"/>
              <w:bidi w:val="0"/>
              <w:spacing w:before="0" w:after="283"/>
              <w:jc w:val="left"/>
              <w:rPr/>
            </w:pPr>
            <w:r>
              <w:rPr/>
              <w:t>Title:</w:t>
            </w:r>
          </w:p>
        </w:tc>
        <w:tc>
          <w:tcPr>
            <w:tcW w:w="94" w:type="dxa"/>
            <w:tcBorders/>
            <w:vAlign w:val="bottom"/>
          </w:tcPr>
          <w:p>
            <w:pPr>
              <w:pStyle w:val="TableContents"/>
              <w:bidi w:val="0"/>
              <w:spacing w:before="0" w:after="283"/>
              <w:jc w:val="left"/>
              <w:rPr/>
            </w:pPr>
            <w:r>
              <w:rPr/>
              <w:t> </w:t>
            </w:r>
          </w:p>
        </w:tc>
        <w:tc>
          <w:tcPr>
            <w:tcW w:w="298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Trustee, certifies that this is one of the </w:t>
      </w:r>
    </w:p>
    <w:p>
      <w:pPr>
        <w:pStyle w:val="TextBody"/>
        <w:bidi w:val="0"/>
        <w:spacing w:before="0" w:after="0"/>
        <w:jc w:val="left"/>
        <w:rPr>
          <w:rFonts w:ascii="Times New Roman" w:hAnsi="Times New Roman"/>
          <w:sz w:val="20"/>
        </w:rPr>
      </w:pPr>
      <w:r>
        <w:rPr>
          <w:rFonts w:ascii="Times New Roman" w:hAnsi="Times New Roman"/>
          <w:sz w:val="20"/>
        </w:rPr>
        <w:t xml:space="preserve">Securities of the series designated therein </w:t>
      </w:r>
    </w:p>
    <w:p>
      <w:pPr>
        <w:pStyle w:val="TextBody"/>
        <w:bidi w:val="0"/>
        <w:spacing w:before="0" w:after="0"/>
        <w:jc w:val="left"/>
        <w:rPr>
          <w:rFonts w:ascii="Times New Roman" w:hAnsi="Times New Roman"/>
          <w:sz w:val="20"/>
        </w:rPr>
      </w:pPr>
      <w:r>
        <w:rPr>
          <w:rFonts w:ascii="Times New Roman" w:hAnsi="Times New Roman"/>
          <w:sz w:val="20"/>
        </w:rPr>
        <w:t xml:space="preserve">referred to in the within-mentioned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35"/>
        <w:gridCol w:w="62"/>
        <w:gridCol w:w="3285"/>
      </w:tblGrid>
      <w:tr>
        <w:trPr/>
        <w:tc>
          <w:tcPr>
            <w:tcW w:w="73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735" w:type="dxa"/>
            <w:tcBorders/>
          </w:tcPr>
          <w:p>
            <w:pPr>
              <w:pStyle w:val="TableContents"/>
              <w:bidi w:val="0"/>
              <w:spacing w:before="0" w:after="283"/>
              <w:jc w:val="left"/>
              <w:rPr/>
            </w:pPr>
            <w:r>
              <w:rPr/>
              <w:t>By:</w:t>
            </w:r>
          </w:p>
        </w:tc>
        <w:tc>
          <w:tcPr>
            <w:tcW w:w="62" w:type="dxa"/>
            <w:tcBorders/>
            <w:vAlign w:val="bottom"/>
          </w:tcPr>
          <w:p>
            <w:pPr>
              <w:pStyle w:val="TableContents"/>
              <w:bidi w:val="0"/>
              <w:spacing w:before="0" w:after="283"/>
              <w:jc w:val="left"/>
              <w:rPr/>
            </w:pPr>
            <w:r>
              <w:rPr/>
              <w:t> </w:t>
            </w:r>
          </w:p>
        </w:tc>
        <w:tc>
          <w:tcPr>
            <w:tcW w:w="3285" w:type="dxa"/>
            <w:tcBorders/>
          </w:tcPr>
          <w:p>
            <w:pPr>
              <w:pStyle w:val="TableContents"/>
              <w:pBdr>
                <w:bottom w:val="single" w:sz="2" w:space="1" w:color="000000"/>
              </w:pBdr>
              <w:bidi w:val="0"/>
              <w:spacing w:before="0" w:after="20"/>
              <w:jc w:val="left"/>
              <w:rPr/>
            </w:pPr>
            <w:r>
              <w:rPr/>
              <w:t> </w:t>
            </w:r>
          </w:p>
        </w:tc>
      </w:tr>
      <w:tr>
        <w:trPr/>
        <w:tc>
          <w:tcPr>
            <w:tcW w:w="735" w:type="dxa"/>
            <w:tcBorders/>
          </w:tcPr>
          <w:p>
            <w:pPr>
              <w:pStyle w:val="TableContents"/>
              <w:bidi w:val="0"/>
              <w:spacing w:before="0" w:after="283"/>
              <w:jc w:val="left"/>
              <w:rPr/>
            </w:pPr>
            <w:r>
              <w:rPr/>
              <w:t>Name:</w:t>
            </w:r>
          </w:p>
        </w:tc>
        <w:tc>
          <w:tcPr>
            <w:tcW w:w="62" w:type="dxa"/>
            <w:tcBorders/>
            <w:vAlign w:val="bottom"/>
          </w:tcPr>
          <w:p>
            <w:pPr>
              <w:pStyle w:val="TableContents"/>
              <w:bidi w:val="0"/>
              <w:spacing w:before="0" w:after="283"/>
              <w:jc w:val="left"/>
              <w:rPr/>
            </w:pPr>
            <w:r>
              <w:rPr/>
              <w:t> </w:t>
            </w:r>
          </w:p>
        </w:tc>
        <w:tc>
          <w:tcPr>
            <w:tcW w:w="3285" w:type="dxa"/>
            <w:tcBorders/>
          </w:tcPr>
          <w:p>
            <w:pPr>
              <w:pStyle w:val="TableContents"/>
              <w:bidi w:val="0"/>
              <w:spacing w:before="0" w:after="283"/>
              <w:jc w:val="left"/>
              <w:rPr>
                <w:sz w:val="4"/>
                <w:szCs w:val="4"/>
              </w:rPr>
            </w:pPr>
            <w:r>
              <w:rPr>
                <w:sz w:val="4"/>
                <w:szCs w:val="4"/>
              </w:rPr>
            </w:r>
          </w:p>
        </w:tc>
      </w:tr>
      <w:tr>
        <w:trPr/>
        <w:tc>
          <w:tcPr>
            <w:tcW w:w="735" w:type="dxa"/>
            <w:tcBorders/>
          </w:tcPr>
          <w:p>
            <w:pPr>
              <w:pStyle w:val="TableContents"/>
              <w:bidi w:val="0"/>
              <w:spacing w:before="0" w:after="283"/>
              <w:jc w:val="left"/>
              <w:rPr/>
            </w:pPr>
            <w:r>
              <w:rPr/>
              <w:t>Title:</w:t>
            </w:r>
          </w:p>
        </w:tc>
        <w:tc>
          <w:tcPr>
            <w:tcW w:w="62" w:type="dxa"/>
            <w:tcBorders/>
            <w:vAlign w:val="bottom"/>
          </w:tcPr>
          <w:p>
            <w:pPr>
              <w:pStyle w:val="TableContents"/>
              <w:bidi w:val="0"/>
              <w:spacing w:before="0" w:after="283"/>
              <w:jc w:val="left"/>
              <w:rPr/>
            </w:pPr>
            <w:r>
              <w:rPr/>
              <w:t> </w:t>
            </w:r>
          </w:p>
        </w:tc>
        <w:tc>
          <w:tcPr>
            <w:tcW w:w="328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August 19,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(Back of 6.250% Senior Note) </w:t>
      </w:r>
    </w:p>
    <w:p>
      <w:pPr>
        <w:pStyle w:val="TextBody"/>
        <w:bidi w:val="0"/>
        <w:spacing w:before="0" w:after="0"/>
        <w:jc w:val="center"/>
        <w:rPr>
          <w:rFonts w:ascii="Times New Roman" w:hAnsi="Times New Roman"/>
          <w:sz w:val="20"/>
        </w:rPr>
      </w:pPr>
      <w:r>
        <w:rPr>
          <w:rFonts w:ascii="Times New Roman" w:hAnsi="Times New Roman"/>
          <w:sz w:val="20"/>
        </w:rPr>
        <w:t xml:space="preserve">6.250% Senior Notes due 2031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shall have the meanings assigned to them in the Indenture referred to below unless otherwise indicated.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Interest</w:t>
      </w:r>
      <w:r>
        <w:rPr>
          <w:rFonts w:ascii="Times New Roman" w:hAnsi="Times New Roman"/>
          <w:sz w:val="20"/>
        </w:rPr>
        <w:t>. Newell Brands Inc., a Delaware corporation (collectively with successors and assigns, the “</w:t>
      </w:r>
      <w:r>
        <w:rPr>
          <w:rFonts w:ascii="Times New Roman" w:hAnsi="Times New Roman"/>
          <w:i/>
          <w:sz w:val="20"/>
        </w:rPr>
        <w:t>Issuer</w:t>
      </w:r>
      <w:r>
        <w:rPr>
          <w:rFonts w:ascii="Times New Roman" w:hAnsi="Times New Roman"/>
          <w:sz w:val="20"/>
        </w:rPr>
        <w:t>”), promises to pay interest on the unpaid principal amount of this 6.250% Senior Note due 2031 (a “</w:t>
      </w:r>
      <w:r>
        <w:rPr>
          <w:rFonts w:ascii="Times New Roman" w:hAnsi="Times New Roman"/>
          <w:i/>
          <w:sz w:val="20"/>
        </w:rPr>
        <w:t>Note</w:t>
      </w:r>
      <w:r>
        <w:rPr>
          <w:rFonts w:ascii="Times New Roman" w:hAnsi="Times New Roman"/>
          <w:sz w:val="20"/>
        </w:rPr>
        <w:t>”) at a fixed rate of 6.250% per annum. The Issuer will pay interest in U.S. dollars semiannually in arrears on February 15 and August 15, commencing on [ ] (each an “</w:t>
      </w:r>
      <w:r>
        <w:rPr>
          <w:rFonts w:ascii="Times New Roman" w:hAnsi="Times New Roman"/>
          <w:i/>
          <w:sz w:val="20"/>
        </w:rPr>
        <w:t>Interest Payment Date</w:t>
      </w:r>
      <w:r>
        <w:rPr>
          <w:rFonts w:ascii="Times New Roman" w:hAnsi="Times New Roman"/>
          <w:sz w:val="20"/>
        </w:rPr>
        <w:t xml:space="preserve">”) or if any such day is not a Business Day, on the next succeeding Business Day with the same force and effect as if made on such Interest Payment Date, and no additional interest shall accrue solely as a result of such delayed payment. Interest on the Notes shall accrue from the most recent date to which interest has been paid, or, if no interest has been paid, from and including the date of issuance. The Issuer shall pay interest (including post-petition interest in any proceeding under any Bankruptcy Law) on overdue principal at the rate equal to the then applicable interest rate on the Notes to the extent lawful; the Issuer shall pay interest (including post-petition interest in any proceeding under any Bankruptcy Law) on overdue installments of interest (without regard to any applicable grace period), at the same rate to the extent lawful. Interest shall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Method of Payment</w:t>
      </w:r>
      <w:r>
        <w:rPr>
          <w:rFonts w:ascii="Times New Roman" w:hAnsi="Times New Roman"/>
          <w:sz w:val="20"/>
        </w:rPr>
        <w:t xml:space="preserve">. The Issuer will pay interest on the Notes (except defaulted interest) on the applicable Interest Payment Date to the Persons who are registered Holders at the close of business on the February 1 and August 1 preceding the Interest Payment Date (whether or not a Business Day), even if such Notes are cancelled after such record date and on or before such Interest Payment Date, except as provided in Section 2.12 of the Indenture with respect to defaulted interest. If a Holder having an aggregate principal amount of Notes of more than $5,000,000 has given written wire transfer instructions to that holder’s U.S. dollar account within the United States to the Trustee at least 10 Business Days prior to the applicable Interest Payment Date, the Issuer will make all payments of principal, premium and interest, on such Holder’s Notes by wire transfer of immediately available funds to the account specified in those instructions. Otherwise, payments on the Notes will be made at the office or agency of the Trustee or Paying Agent unless the Issuer elects to make interest payments by check mailed to the Holders at their addresses set forth in the register of Holders. Such payment shall be in such coin or currency of the United States of America as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 xml:space="preserve">Any payments of principal of this Note prior to Stated Maturity shall be binding upon all future Holders of this Note and of any Note issued upon the registration of transfer hereof or in exchange hereof or in lieu hereof, whether or not noted hereon. The final principal amount due and payable at the maturity of this Note shall be payable only upon presentation and surrender of this Note at an office of the Trustee or the Trustee’s agent appointed for such purposes. Payments in respect of Global Notes will be made by wire transfer of immediately available funds to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Paying Agent and Registrar</w:t>
      </w:r>
      <w:r>
        <w:rPr>
          <w:rFonts w:ascii="Times New Roman" w:hAnsi="Times New Roman"/>
          <w:sz w:val="20"/>
        </w:rPr>
        <w:t xml:space="preserve">. Initially, the Trustee shall act as Paying Agent and Registrar. The Issuer may change any Paying Agent or Registrar without notice to any Holder, and the Issuer and/or any Restricted Subsidiaries may act as Paying Agent or Registrar.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Indenture</w:t>
      </w:r>
      <w:r>
        <w:rPr>
          <w:rFonts w:ascii="Times New Roman" w:hAnsi="Times New Roman"/>
          <w:sz w:val="20"/>
        </w:rPr>
        <w:t>. The Issuer issued the Notes under an Indenture, dated as of August 19, 2026 (the “</w:t>
      </w:r>
      <w:r>
        <w:rPr>
          <w:rFonts w:ascii="Times New Roman" w:hAnsi="Times New Roman"/>
          <w:i/>
          <w:sz w:val="20"/>
        </w:rPr>
        <w:t>Indenture</w:t>
      </w:r>
      <w:r>
        <w:rPr>
          <w:rFonts w:ascii="Times New Roman" w:hAnsi="Times New Roman"/>
          <w:sz w:val="20"/>
        </w:rPr>
        <w:t xml:space="preserve">”), among the Issuer, any Subsidiary Guarantors from time to time party thereto and the Trustee. The terms of the Notes include those stated in the Indenture. To the extent the provisions of this Note are inconsistent with the provisions of the Indenture, the Indenture shall govern. The Notes are subject to all such terms, and Holders are referred to the Indenture for a statement of such terms. The Initial Notes issued on the Issue Date were initially issued in an aggregate principal amount of $600,000,000. The Indenture permits the issuance of Additional Notes subject to compliance with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payment of principal, interest on the Notes and all other amounts under the Indenture is unconditionally guaranteed, jointly and severally, on a senior unsecured basis by the Subsidiary Guarantors.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Optional Redemption</w:t>
      </w:r>
      <w:r>
        <w:rPr>
          <w:rFonts w:ascii="Times New Roman" w:hAnsi="Times New Roman"/>
          <w:sz w:val="20"/>
        </w:rPr>
        <w:t xml:space="preserve">. The Notes are subject to optional redemption, and may be the subject of an offer to purchase, as further described in the Indenture. The Issuer shall not be required to make mandatory redemption or sinking fund payments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Notice of Redemption</w:t>
      </w:r>
      <w:r>
        <w:rPr>
          <w:rFonts w:ascii="Times New Roman" w:hAnsi="Times New Roman"/>
          <w:sz w:val="20"/>
        </w:rPr>
        <w:t xml:space="preserve">. Notice of redemption shall be delivered at least 15 days but not more than 60 days before the expected redemption date (except that notices may be delivered more than 60 days before an expected redemption date if the notice is issued in accordance with Article VIII of the Indenture) to each Holder whose Notes are to be redeemed in accordance with Section 11.1 of the Indenture. Notices of redemption may be subject to conditions precedent as set forth in the Indenture. Notes in denominations larger than $2,000 may be redeemed in part so long as no partial redemption results in a Note having a principal amount that is not a multiple of $1,000.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Denominations, Transfer, Exchange</w:t>
      </w:r>
      <w:r>
        <w:rPr>
          <w:rFonts w:ascii="Times New Roman" w:hAnsi="Times New Roman"/>
          <w:sz w:val="20"/>
        </w:rPr>
        <w:t xml:space="preserve">. The Notes are in registered form without coupons in initial minimum denominations of $2,000 and integral multiples of $1,000 in excess thereof. The transfer of the Notes may be registered and the Notes may be exchanged as provided in the Indenture. The Registrar, the Trustee and the Issuer may require a Holder, among other things, to furnish appropriate endorsements and transfer documents, and the Issuer may require a Holder to pay any stamp or transfer tax or similar government charge required by law or permitted by the Indenture in accordance with Section 2.6(g)(2) of the Indenture. The Registrar is not required (A) to issue, to register the transfer of or to exchange Notes during a period beginning at the opening of 15 days before the day of any selection of Notes for redemption and ending at the close of business on the day of such selection, (B) to register the transfer of or to exchange any Note so selected for redemption in whole or in part, except the unredeemed portion of any Note being redeemed in part, or (C) to register the transfer of or to exchange a Note between a record date and the next succeeding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Persons Deemed Owners</w:t>
      </w:r>
      <w:r>
        <w:rPr>
          <w:rFonts w:ascii="Times New Roman" w:hAnsi="Times New Roman"/>
          <w:sz w:val="20"/>
        </w:rPr>
        <w:t xml:space="preserve">. The registered Holder of a Note may be treated as its owner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Amendment, Supplement and Waiver</w:t>
      </w:r>
      <w:r>
        <w:rPr>
          <w:rFonts w:ascii="Times New Roman" w:hAnsi="Times New Roman"/>
          <w:sz w:val="20"/>
        </w:rPr>
        <w:t xml:space="preserve">. The Indenture, the Notes and any Subsidiary Guarantees may be amended or supplemented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Defaults and Remedies</w:t>
      </w:r>
      <w:r>
        <w:rPr>
          <w:rFonts w:ascii="Times New Roman" w:hAnsi="Times New Roman"/>
          <w:sz w:val="20"/>
        </w:rPr>
        <w:t xml:space="preserve">. The Events of Default relating to the Notes are defined in Section 6.1 of the Indenture. Upon the occurrence of an Event of Default, the rights and obligations of the Issuer, the Trustee and the Holders shall be as set forth in the applicable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 Recourse Against Others</w:t>
      </w:r>
      <w:r>
        <w:rPr>
          <w:rFonts w:ascii="Times New Roman" w:hAnsi="Times New Roman"/>
          <w:sz w:val="20"/>
        </w:rPr>
        <w:t xml:space="preserve">. No past, present or future director, officer, employee, incorporator, member, partner or stockholder of the Issuer or any Subsidiary Guarantor, as such, shall have any liability for any obligations of the Issuer or any Subsidiary Guarantor (other than the Issuer in respect of the Notes and each Subsidiary Guarantor in respect of its Subsidiary Guarantee) under the Notes, any Subsidiary Guarantees or the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Authentication</w:t>
      </w:r>
      <w:r>
        <w:rPr>
          <w:rFonts w:ascii="Times New Roman" w:hAnsi="Times New Roman"/>
          <w:sz w:val="20"/>
        </w:rPr>
        <w:t xml:space="preserve">. This Note shall not be valid until authenticated by the manual or electronic signature of the Trustee or an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Abbreviations</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CUSIP and ISIN Numbers</w:t>
      </w:r>
      <w:r>
        <w:rPr>
          <w:rFonts w:ascii="Times New Roman" w:hAnsi="Times New Roman"/>
          <w:sz w:val="20"/>
        </w:rPr>
        <w:t xml:space="preserve">. Pursuant to a recommendation promulgated by the Committee on Uniform Security Identification Procedures, the Issuer has caused CUSIP and ISIN numbers to be printed on the Notes, and the Trustee may use CUSIP and ISIN numbers in notices of redemption as a convenience to the Holders. No representation is made as to the accuracy of such numbers either as printed on the Notes or as contained in any notice of redemption, and reliance may be placed only on the other identification numbers placed thereon.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furnish to any Holder upon written request and without charge a copy of the Indenture. Requests may be made to: </w:t>
      </w:r>
    </w:p>
    <w:p>
      <w:pPr>
        <w:pStyle w:val="TextBody"/>
        <w:bidi w:val="0"/>
        <w:spacing w:before="120" w:after="0"/>
        <w:jc w:val="left"/>
        <w:rPr>
          <w:rFonts w:ascii="Times New Roman" w:hAnsi="Times New Roman"/>
          <w:sz w:val="20"/>
        </w:rPr>
      </w:pPr>
      <w:r>
        <w:rPr>
          <w:rFonts w:ascii="Times New Roman" w:hAnsi="Times New Roman"/>
          <w:sz w:val="20"/>
        </w:rPr>
        <w:t xml:space="preserve">c/o Newell Brands Inc. </w:t>
      </w:r>
    </w:p>
    <w:p>
      <w:pPr>
        <w:pStyle w:val="TextBody"/>
        <w:bidi w:val="0"/>
        <w:spacing w:before="0" w:after="0"/>
        <w:jc w:val="left"/>
        <w:rPr>
          <w:rFonts w:ascii="Times New Roman" w:hAnsi="Times New Roman"/>
          <w:sz w:val="20"/>
        </w:rPr>
      </w:pPr>
      <w:r>
        <w:rPr>
          <w:rFonts w:ascii="Times New Roman" w:hAnsi="Times New Roman"/>
          <w:sz w:val="20"/>
        </w:rPr>
        <w:t xml:space="preserve">5 Concourse Parkway NE, 8th Floor </w:t>
      </w:r>
    </w:p>
    <w:p>
      <w:pPr>
        <w:pStyle w:val="TextBody"/>
        <w:bidi w:val="0"/>
        <w:spacing w:before="0" w:after="0"/>
        <w:jc w:val="left"/>
        <w:rPr>
          <w:rFonts w:ascii="Times New Roman" w:hAnsi="Times New Roman"/>
          <w:sz w:val="20"/>
        </w:rPr>
      </w:pPr>
      <w:r>
        <w:rPr>
          <w:rFonts w:ascii="Times New Roman" w:hAnsi="Times New Roman"/>
          <w:sz w:val="20"/>
        </w:rPr>
        <w:t xml:space="preserve">Atlanta, Georgia 30328 </w:t>
      </w:r>
    </w:p>
    <w:p>
      <w:pPr>
        <w:pStyle w:val="TextBody"/>
        <w:bidi w:val="0"/>
        <w:spacing w:before="0" w:after="0"/>
        <w:jc w:val="left"/>
        <w:rPr>
          <w:rFonts w:ascii="Times New Roman" w:hAnsi="Times New Roman"/>
          <w:sz w:val="20"/>
        </w:rPr>
      </w:pPr>
      <w:r>
        <w:rPr>
          <w:rFonts w:ascii="Times New Roman" w:hAnsi="Times New Roman"/>
          <w:sz w:val="20"/>
        </w:rPr>
        <w:t xml:space="preserve">Telephone: 1-770-418-7000 </w:t>
      </w:r>
    </w:p>
    <w:p>
      <w:pPr>
        <w:pStyle w:val="TextBody"/>
        <w:bidi w:val="0"/>
        <w:spacing w:before="0" w:after="0"/>
        <w:jc w:val="left"/>
        <w:rPr>
          <w:rFonts w:ascii="Times New Roman" w:hAnsi="Times New Roman"/>
          <w:sz w:val="20"/>
        </w:rPr>
      </w:pPr>
      <w:r>
        <w:rPr>
          <w:rFonts w:ascii="Times New Roman" w:hAnsi="Times New Roman"/>
          <w:sz w:val="20"/>
        </w:rPr>
        <w:t xml:space="preserve">Email: investor.relations@newellco.com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(I) or (we) assign and transfer this Note to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(Insert assignee’s soc. sec. or tax I.D. no.)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(Print or type assignee’s name, address and zip code) </w:t>
      </w:r>
    </w:p>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w:t>
      </w:r>
    </w:p>
    <w:p>
      <w:pPr>
        <w:pStyle w:val="TextBody"/>
        <w:bidi w:val="0"/>
        <w:spacing w:before="0" w:after="0"/>
        <w:jc w:val="left"/>
        <w:rPr/>
      </w:pPr>
      <w:r>
        <w:rPr/>
        <w:t> </w:t>
      </w:r>
    </w:p>
    <w:p>
      <w:pPr>
        <w:pStyle w:val="TextBody"/>
        <w:bidi w:val="0"/>
        <w:spacing w:before="24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to transfer this Note on the books of the Issuer. The agent may substitute another to act for him. </w:t>
      </w:r>
    </w:p>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46"/>
        <w:gridCol w:w="60"/>
        <w:gridCol w:w="2376"/>
      </w:tblGrid>
      <w:tr>
        <w:trPr/>
        <w:tc>
          <w:tcPr>
            <w:tcW w:w="16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r>
      <w:tr>
        <w:trPr/>
        <w:tc>
          <w:tcPr>
            <w:tcW w:w="1646" w:type="dxa"/>
            <w:tcBorders/>
          </w:tcPr>
          <w:p>
            <w:pPr>
              <w:pStyle w:val="TableContents"/>
              <w:bidi w:val="0"/>
              <w:spacing w:before="0" w:after="283"/>
              <w:jc w:val="left"/>
              <w:rPr/>
            </w:pPr>
            <w:r>
              <w:rPr/>
              <w:t>Your Signature:</w:t>
            </w:r>
          </w:p>
        </w:tc>
        <w:tc>
          <w:tcPr>
            <w:tcW w:w="60" w:type="dxa"/>
            <w:tcBorders/>
            <w:vAlign w:val="bottom"/>
          </w:tcPr>
          <w:p>
            <w:pPr>
              <w:pStyle w:val="TableContents"/>
              <w:bidi w:val="0"/>
              <w:spacing w:before="0" w:after="283"/>
              <w:jc w:val="left"/>
              <w:rPr/>
            </w:pPr>
            <w:r>
              <w:rPr/>
              <w:t> </w:t>
            </w:r>
          </w:p>
        </w:tc>
        <w:tc>
          <w:tcPr>
            <w:tcW w:w="2376" w:type="dxa"/>
            <w:tcBorders/>
          </w:tcPr>
          <w:p>
            <w:pPr>
              <w:pStyle w:val="TableContents"/>
              <w:pBdr>
                <w:bottom w:val="single" w:sz="2" w:space="1" w:color="000000"/>
              </w:pBdr>
              <w:bidi w:val="0"/>
              <w:spacing w:before="0" w:after="20"/>
              <w:jc w:val="left"/>
              <w:rPr/>
            </w:pPr>
            <w:r>
              <w:rPr/>
              <w:t> </w:t>
            </w:r>
          </w:p>
        </w:tc>
      </w:tr>
      <w:tr>
        <w:trPr/>
        <w:tc>
          <w:tcPr>
            <w:tcW w:w="16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r>
              <w:rPr/>
              <w:t>(Sign exactly as your name appears on the face of this Note)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this Note purchased by the Issuer pursuant to Section 4.10 or Section 4.14 of the Indenture, check the box below: </w:t>
      </w:r>
    </w:p>
    <w:p>
      <w:pPr>
        <w:pStyle w:val="TextBody"/>
        <w:bidi w:val="0"/>
        <w:spacing w:before="240" w:after="0"/>
        <w:jc w:val="center"/>
        <w:rPr>
          <w:rFonts w:ascii="Times New Roman" w:hAnsi="Times New Roman"/>
          <w:sz w:val="20"/>
        </w:rPr>
      </w:pPr>
      <w:r>
        <w:rPr>
          <w:rFonts w:ascii="Times New Roman" w:hAnsi="Times New Roman"/>
          <w:sz w:val="20"/>
        </w:rPr>
        <w:t xml:space="preserve">[  ] Section 4.10 [  ] Section 4.14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the Note purchased by the Issuer pursuant to Section 4.10 or Section 4.14 of the Indenture, state the amount you elect to have purchased: $______________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46"/>
        <w:gridCol w:w="60"/>
        <w:gridCol w:w="2376"/>
      </w:tblGrid>
      <w:tr>
        <w:trPr/>
        <w:tc>
          <w:tcPr>
            <w:tcW w:w="16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r>
      <w:tr>
        <w:trPr/>
        <w:tc>
          <w:tcPr>
            <w:tcW w:w="1646" w:type="dxa"/>
            <w:tcBorders/>
          </w:tcPr>
          <w:p>
            <w:pPr>
              <w:pStyle w:val="TableContents"/>
              <w:bidi w:val="0"/>
              <w:spacing w:before="0" w:after="283"/>
              <w:jc w:val="left"/>
              <w:rPr/>
            </w:pPr>
            <w:r>
              <w:rPr/>
              <w:t>Your Signature:</w:t>
            </w:r>
          </w:p>
        </w:tc>
        <w:tc>
          <w:tcPr>
            <w:tcW w:w="60" w:type="dxa"/>
            <w:tcBorders/>
            <w:vAlign w:val="bottom"/>
          </w:tcPr>
          <w:p>
            <w:pPr>
              <w:pStyle w:val="TableContents"/>
              <w:bidi w:val="0"/>
              <w:spacing w:before="0" w:after="283"/>
              <w:jc w:val="left"/>
              <w:rPr/>
            </w:pPr>
            <w:r>
              <w:rPr/>
              <w:t> </w:t>
            </w:r>
          </w:p>
        </w:tc>
        <w:tc>
          <w:tcPr>
            <w:tcW w:w="2376" w:type="dxa"/>
            <w:tcBorders/>
          </w:tcPr>
          <w:p>
            <w:pPr>
              <w:pStyle w:val="TableContents"/>
              <w:pBdr>
                <w:bottom w:val="single" w:sz="2" w:space="1" w:color="000000"/>
              </w:pBdr>
              <w:bidi w:val="0"/>
              <w:spacing w:before="0" w:after="20"/>
              <w:jc w:val="left"/>
              <w:rPr/>
            </w:pPr>
            <w:r>
              <w:rPr/>
              <w:t> </w:t>
            </w:r>
          </w:p>
        </w:tc>
      </w:tr>
      <w:tr>
        <w:trPr/>
        <w:tc>
          <w:tcPr>
            <w:tcW w:w="16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r>
              <w:rPr/>
              <w:t>(Sign exactly as your name appears on the face of this Note)</w:t>
            </w:r>
          </w:p>
        </w:tc>
      </w:tr>
    </w:tbl>
    <w:p>
      <w:pPr>
        <w:pStyle w:val="TextBody"/>
        <w:bidi w:val="0"/>
        <w:spacing w:before="240" w:after="0"/>
        <w:jc w:val="left"/>
        <w:rPr>
          <w:rFonts w:ascii="Times New Roman" w:hAnsi="Times New Roman"/>
          <w:sz w:val="20"/>
        </w:rPr>
      </w:pPr>
      <w:r>
        <w:rPr>
          <w:rFonts w:ascii="Times New Roman" w:hAnsi="Times New Roman"/>
          <w:sz w:val="20"/>
        </w:rPr>
        <w:t xml:space="preserve">Tax Identification No.: </w:t>
      </w:r>
    </w:p>
    <w:p>
      <w:pPr>
        <w:pStyle w:val="TextBody"/>
        <w:bidi w:val="0"/>
        <w:spacing w:before="240" w:after="0"/>
        <w:jc w:val="left"/>
        <w:rPr>
          <w:rFonts w:ascii="Times New Roman" w:hAnsi="Times New Roman"/>
          <w:sz w:val="20"/>
        </w:rPr>
      </w:pPr>
      <w:r>
        <w:rPr>
          <w:rFonts w:ascii="Times New Roman" w:hAnsi="Times New Roman"/>
          <w:sz w:val="20"/>
        </w:rPr>
        <w:t xml:space="preserve">Signature guarantee: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[INCLUDE IN TRANSFER RESTRICTED NOTES] </w:t>
      </w:r>
    </w:p>
    <w:p>
      <w:pPr>
        <w:pStyle w:val="TextBody"/>
        <w:bidi w:val="0"/>
        <w:spacing w:before="240" w:after="0"/>
        <w:jc w:val="center"/>
        <w:rPr>
          <w:rFonts w:ascii="Times New Roman" w:hAnsi="Times New Roman"/>
          <w:sz w:val="20"/>
        </w:rPr>
      </w:pPr>
      <w:r>
        <w:rPr>
          <w:rFonts w:ascii="Times New Roman" w:hAnsi="Times New Roman"/>
          <w:sz w:val="20"/>
        </w:rPr>
        <w:t xml:space="preserve">CERTIFICATE TO BE DELIVERED UPON </w:t>
      </w:r>
    </w:p>
    <w:p>
      <w:pPr>
        <w:pStyle w:val="TextBody"/>
        <w:bidi w:val="0"/>
        <w:spacing w:before="0" w:after="0"/>
        <w:jc w:val="center"/>
        <w:rPr>
          <w:rFonts w:ascii="Times New Roman" w:hAnsi="Times New Roman"/>
          <w:sz w:val="20"/>
        </w:rPr>
      </w:pPr>
      <w:r>
        <w:rPr>
          <w:rFonts w:ascii="Times New Roman" w:hAnsi="Times New Roman"/>
          <w:sz w:val="20"/>
        </w:rPr>
        <w:t xml:space="preserve">EXCHANGE OF TRANSFER RESTRICTED NOTES </w:t>
      </w:r>
    </w:p>
    <w:p>
      <w:pPr>
        <w:pStyle w:val="TextBody"/>
        <w:bidi w:val="0"/>
        <w:spacing w:before="240" w:after="0"/>
        <w:jc w:val="left"/>
        <w:rPr>
          <w:rFonts w:ascii="Times New Roman" w:hAnsi="Times New Roman"/>
          <w:sz w:val="20"/>
        </w:rPr>
      </w:pPr>
      <w:r>
        <w:rPr>
          <w:rFonts w:ascii="Times New Roman" w:hAnsi="Times New Roman"/>
          <w:sz w:val="20"/>
        </w:rPr>
        <w:t xml:space="preserve">Newell Brands Inc. </w:t>
      </w:r>
    </w:p>
    <w:p>
      <w:pPr>
        <w:pStyle w:val="TextBody"/>
        <w:bidi w:val="0"/>
        <w:spacing w:before="0" w:after="0"/>
        <w:jc w:val="left"/>
        <w:rPr>
          <w:rFonts w:ascii="Times New Roman" w:hAnsi="Times New Roman"/>
          <w:sz w:val="20"/>
        </w:rPr>
      </w:pPr>
      <w:r>
        <w:rPr>
          <w:rFonts w:ascii="Times New Roman" w:hAnsi="Times New Roman"/>
          <w:sz w:val="20"/>
        </w:rPr>
        <w:t xml:space="preserve">5 Concourse Parkway NE, 8th Floor </w:t>
      </w:r>
    </w:p>
    <w:p>
      <w:pPr>
        <w:pStyle w:val="TextBody"/>
        <w:bidi w:val="0"/>
        <w:spacing w:before="0" w:after="0"/>
        <w:jc w:val="left"/>
        <w:rPr>
          <w:rFonts w:ascii="Times New Roman" w:hAnsi="Times New Roman"/>
          <w:sz w:val="20"/>
        </w:rPr>
      </w:pPr>
      <w:r>
        <w:rPr>
          <w:rFonts w:ascii="Times New Roman" w:hAnsi="Times New Roman"/>
          <w:sz w:val="20"/>
        </w:rPr>
        <w:t xml:space="preserve">Atlanta, Georgia 30328 </w:t>
      </w:r>
    </w:p>
    <w:p>
      <w:pPr>
        <w:pStyle w:val="TextBody"/>
        <w:bidi w:val="0"/>
        <w:spacing w:before="0" w:after="0"/>
        <w:jc w:val="left"/>
        <w:rPr>
          <w:rFonts w:ascii="Times New Roman" w:hAnsi="Times New Roman"/>
          <w:sz w:val="20"/>
        </w:rPr>
      </w:pPr>
      <w:r>
        <w:rPr>
          <w:rFonts w:ascii="Times New Roman" w:hAnsi="Times New Roman"/>
          <w:sz w:val="20"/>
        </w:rPr>
        <w:t xml:space="preserve">Telephone: 1-770-418-7710 </w:t>
      </w:r>
    </w:p>
    <w:p>
      <w:pPr>
        <w:pStyle w:val="TextBody"/>
        <w:bidi w:val="0"/>
        <w:spacing w:before="0" w:after="0"/>
        <w:jc w:val="left"/>
        <w:rPr>
          <w:rFonts w:ascii="Times New Roman" w:hAnsi="Times New Roman"/>
          <w:sz w:val="20"/>
        </w:rPr>
      </w:pPr>
      <w:r>
        <w:rPr>
          <w:rFonts w:ascii="Times New Roman" w:hAnsi="Times New Roman"/>
          <w:sz w:val="20"/>
        </w:rPr>
        <w:t xml:space="preserve">Email: Bradford.Turner@newellco.com </w:t>
      </w:r>
    </w:p>
    <w:p>
      <w:pPr>
        <w:pStyle w:val="TextBody"/>
        <w:bidi w:val="0"/>
        <w:spacing w:before="0" w:after="0"/>
        <w:jc w:val="left"/>
        <w:rPr>
          <w:rFonts w:ascii="Times New Roman" w:hAnsi="Times New Roman"/>
          <w:sz w:val="20"/>
        </w:rPr>
      </w:pPr>
      <w:r>
        <w:rPr>
          <w:rFonts w:ascii="Times New Roman" w:hAnsi="Times New Roman"/>
          <w:sz w:val="20"/>
        </w:rPr>
        <w:t xml:space="preserve">Attention: Bradford Turner </w:t>
      </w:r>
    </w:p>
    <w:p>
      <w:pPr>
        <w:pStyle w:val="TextBody"/>
        <w:bidi w:val="0"/>
        <w:spacing w:before="240" w:after="0"/>
        <w:jc w:val="left"/>
        <w:rPr>
          <w:rFonts w:ascii="Times New Roman" w:hAnsi="Times New Roman"/>
          <w:sz w:val="20"/>
        </w:rPr>
      </w:pPr>
      <w:r>
        <w:rPr>
          <w:rFonts w:ascii="Times New Roman" w:hAnsi="Times New Roman"/>
          <w:sz w:val="20"/>
        </w:rPr>
        <w:t xml:space="preserve">Re: 6.250% Senior Notes due 2031 CUSIP NO. ________ </w:t>
      </w:r>
    </w:p>
    <w:p>
      <w:pPr>
        <w:pStyle w:val="TextBody"/>
        <w:bidi w:val="0"/>
        <w:spacing w:before="240" w:after="0"/>
        <w:jc w:val="left"/>
        <w:rPr>
          <w:rFonts w:ascii="Times New Roman" w:hAnsi="Times New Roman"/>
          <w:sz w:val="20"/>
        </w:rPr>
      </w:pPr>
      <w:r>
        <w:rPr>
          <w:rFonts w:ascii="Times New Roman" w:hAnsi="Times New Roman"/>
          <w:sz w:val="20"/>
        </w:rPr>
        <w:t>Reference is hereby made to that certain Indenture dated August 19, 2026 (the “</w:t>
      </w:r>
      <w:r>
        <w:rPr>
          <w:rFonts w:ascii="Times New Roman" w:hAnsi="Times New Roman"/>
          <w:i/>
          <w:sz w:val="20"/>
        </w:rPr>
        <w:t>Indenture</w:t>
      </w:r>
      <w:r>
        <w:rPr>
          <w:rFonts w:ascii="Times New Roman" w:hAnsi="Times New Roman"/>
          <w:sz w:val="20"/>
        </w:rPr>
        <w:t>”) among Newell Brands Inc., a Delaware corporation (collectively with successors and assigns, the “</w:t>
      </w:r>
      <w:r>
        <w:rPr>
          <w:rFonts w:ascii="Times New Roman" w:hAnsi="Times New Roman"/>
          <w:i/>
          <w:sz w:val="20"/>
        </w:rPr>
        <w:t>Issuer</w:t>
      </w:r>
      <w:r>
        <w:rPr>
          <w:rFonts w:ascii="Times New Roman" w:hAnsi="Times New Roman"/>
          <w:sz w:val="20"/>
        </w:rPr>
        <w:t>”), any guarantors from time to time party thereto, and U.S. Bank Trust Company, National Association, as trustee (the “</w:t>
      </w:r>
      <w:r>
        <w:rPr>
          <w:rFonts w:ascii="Times New Roman" w:hAnsi="Times New Roman"/>
          <w:i/>
          <w:sz w:val="20"/>
        </w:rPr>
        <w:t>Trustee</w:t>
      </w:r>
      <w:r>
        <w:rPr>
          <w:rFonts w:ascii="Times New Roman" w:hAnsi="Times New Roman"/>
          <w:sz w:val="20"/>
        </w:rPr>
        <w:t xml:space="preserve">”). Capitalized terms used but not defined herein shall have the meanings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certificate relates to $______ principal amount of Notes held in (check applicable space) ___________ book-entry or ____________ definitive form by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transfer of any of the Notes evidenced by this certificate occurring prior to the expiration of the Resale Restriction Termination Date, the undersigned confirms that such Notes are being transferred as follows: </w:t>
      </w:r>
    </w:p>
    <w:p>
      <w:pPr>
        <w:pStyle w:val="TextBody"/>
        <w:bidi w:val="0"/>
        <w:spacing w:before="360" w:after="0"/>
        <w:jc w:val="left"/>
        <w:rPr>
          <w:rFonts w:ascii="Times New Roman" w:hAnsi="Times New Roman"/>
          <w:b/>
          <w:sz w:val="20"/>
        </w:rPr>
      </w:pPr>
      <w:r>
        <w:rPr>
          <w:rFonts w:ascii="Times New Roman" w:hAnsi="Times New Roman"/>
          <w:b/>
          <w:sz w:val="20"/>
        </w:rPr>
        <w:t xml:space="preserve">CHECK ONE BOX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9"/>
        <w:gridCol w:w="123"/>
        <w:gridCol w:w="244"/>
        <w:gridCol w:w="123"/>
        <w:gridCol w:w="9476"/>
      </w:tblGrid>
      <w:tr>
        <w:trPr/>
        <w:tc>
          <w:tcPr>
            <w:tcW w:w="23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476" w:type="dxa"/>
            <w:tcBorders/>
            <w:vAlign w:val="center"/>
          </w:tcPr>
          <w:p>
            <w:pPr>
              <w:pStyle w:val="TableContents"/>
              <w:bidi w:val="0"/>
              <w:spacing w:before="0" w:after="283"/>
              <w:jc w:val="left"/>
              <w:rPr>
                <w:sz w:val="4"/>
                <w:szCs w:val="4"/>
              </w:rPr>
            </w:pPr>
            <w:r>
              <w:rPr>
                <w:sz w:val="4"/>
                <w:szCs w:val="4"/>
              </w:rPr>
            </w:r>
          </w:p>
        </w:tc>
      </w:tr>
      <w:tr>
        <w:trPr/>
        <w:tc>
          <w:tcPr>
            <w:tcW w:w="239" w:type="dxa"/>
            <w:tcBorders/>
          </w:tcPr>
          <w:p>
            <w:pPr>
              <w:pStyle w:val="TableContents"/>
              <w:bidi w:val="0"/>
              <w:spacing w:before="0" w:after="283"/>
              <w:jc w:val="left"/>
              <w:rPr/>
            </w:pPr>
            <w:r>
              <w:rPr/>
              <w:t>(1)</w:t>
            </w:r>
          </w:p>
        </w:tc>
        <w:tc>
          <w:tcPr>
            <w:tcW w:w="123"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9476" w:type="dxa"/>
            <w:tcBorders/>
          </w:tcPr>
          <w:p>
            <w:pPr>
              <w:pStyle w:val="TableContents"/>
              <w:bidi w:val="0"/>
              <w:spacing w:before="0" w:after="283"/>
              <w:jc w:val="left"/>
              <w:rPr/>
            </w:pPr>
            <w:r>
              <w:rPr/>
              <w:t>to the Issuer or any of its subsidiaries; or</w:t>
            </w:r>
          </w:p>
        </w:tc>
      </w:tr>
      <w:tr>
        <w:trPr>
          <w:trHeight w:val="120" w:hRule="atLeast"/>
        </w:trPr>
        <w:tc>
          <w:tcPr>
            <w:tcW w:w="239" w:type="dxa"/>
            <w:tcBorders/>
            <w:vAlign w:val="center"/>
          </w:tcPr>
          <w:p>
            <w:pPr>
              <w:pStyle w:val="TableContents"/>
              <w:bidi w:val="0"/>
              <w:spacing w:before="0" w:after="283"/>
              <w:jc w:val="left"/>
              <w:rPr>
                <w:sz w:val="4"/>
                <w:szCs w:val="4"/>
              </w:rPr>
            </w:pPr>
            <w:r>
              <w:rPr>
                <w:sz w:val="4"/>
                <w:szCs w:val="4"/>
              </w:rPr>
            </w:r>
          </w:p>
        </w:tc>
        <w:tc>
          <w:tcPr>
            <w:tcW w:w="367" w:type="dxa"/>
            <w:gridSpan w:val="2"/>
            <w:tcBorders/>
            <w:vAlign w:val="center"/>
          </w:tcPr>
          <w:p>
            <w:pPr>
              <w:pStyle w:val="TableContents"/>
              <w:bidi w:val="0"/>
              <w:spacing w:before="0" w:after="283"/>
              <w:jc w:val="left"/>
              <w:rPr>
                <w:sz w:val="4"/>
                <w:szCs w:val="4"/>
              </w:rPr>
            </w:pPr>
            <w:r>
              <w:rPr>
                <w:sz w:val="4"/>
                <w:szCs w:val="4"/>
              </w:rPr>
            </w:r>
          </w:p>
        </w:tc>
        <w:tc>
          <w:tcPr>
            <w:tcW w:w="9599" w:type="dxa"/>
            <w:gridSpan w:val="2"/>
            <w:tcBorders/>
            <w:vAlign w:val="center"/>
          </w:tcPr>
          <w:p>
            <w:pPr>
              <w:pStyle w:val="TableContents"/>
              <w:bidi w:val="0"/>
              <w:spacing w:before="0" w:after="283"/>
              <w:jc w:val="left"/>
              <w:rPr>
                <w:sz w:val="4"/>
                <w:szCs w:val="4"/>
              </w:rPr>
            </w:pPr>
            <w:r>
              <w:rPr>
                <w:sz w:val="4"/>
                <w:szCs w:val="4"/>
              </w:rPr>
            </w:r>
          </w:p>
        </w:tc>
      </w:tr>
      <w:tr>
        <w:trPr/>
        <w:tc>
          <w:tcPr>
            <w:tcW w:w="239" w:type="dxa"/>
            <w:tcBorders/>
          </w:tcPr>
          <w:p>
            <w:pPr>
              <w:pStyle w:val="TableContents"/>
              <w:bidi w:val="0"/>
              <w:spacing w:before="0" w:after="283"/>
              <w:jc w:val="left"/>
              <w:rPr/>
            </w:pPr>
            <w:r>
              <w:rPr/>
              <w:t>(2)</w:t>
            </w:r>
          </w:p>
        </w:tc>
        <w:tc>
          <w:tcPr>
            <w:tcW w:w="123"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9476" w:type="dxa"/>
            <w:tcBorders/>
          </w:tcPr>
          <w:p>
            <w:pPr>
              <w:pStyle w:val="TableContents"/>
              <w:bidi w:val="0"/>
              <w:spacing w:before="0" w:after="283"/>
              <w:jc w:val="left"/>
              <w:rPr/>
            </w:pPr>
            <w:r>
              <w:rPr/>
              <w:t>inside the United States to a “qualified institutional buyer” (as defined in Rule 144A under the Securities Act of 1933, as amended) that purchases for its own account or for the account of a qualified institutional buyer to whom notice is given that such transfer is being made in reliance on Rule 144A under the Securities Act of 1933, as amended, in each case pursuant to and in compliance with Rule 144A thereunder; or</w:t>
            </w:r>
          </w:p>
        </w:tc>
      </w:tr>
      <w:tr>
        <w:trPr>
          <w:trHeight w:val="120" w:hRule="atLeast"/>
        </w:trPr>
        <w:tc>
          <w:tcPr>
            <w:tcW w:w="239" w:type="dxa"/>
            <w:tcBorders/>
            <w:vAlign w:val="center"/>
          </w:tcPr>
          <w:p>
            <w:pPr>
              <w:pStyle w:val="TableContents"/>
              <w:bidi w:val="0"/>
              <w:spacing w:before="0" w:after="283"/>
              <w:jc w:val="left"/>
              <w:rPr>
                <w:sz w:val="4"/>
                <w:szCs w:val="4"/>
              </w:rPr>
            </w:pPr>
            <w:r>
              <w:rPr>
                <w:sz w:val="4"/>
                <w:szCs w:val="4"/>
              </w:rPr>
            </w:r>
          </w:p>
        </w:tc>
        <w:tc>
          <w:tcPr>
            <w:tcW w:w="367" w:type="dxa"/>
            <w:gridSpan w:val="2"/>
            <w:tcBorders/>
            <w:vAlign w:val="center"/>
          </w:tcPr>
          <w:p>
            <w:pPr>
              <w:pStyle w:val="TableContents"/>
              <w:bidi w:val="0"/>
              <w:spacing w:before="0" w:after="283"/>
              <w:jc w:val="left"/>
              <w:rPr>
                <w:sz w:val="4"/>
                <w:szCs w:val="4"/>
              </w:rPr>
            </w:pPr>
            <w:r>
              <w:rPr>
                <w:sz w:val="4"/>
                <w:szCs w:val="4"/>
              </w:rPr>
            </w:r>
          </w:p>
        </w:tc>
        <w:tc>
          <w:tcPr>
            <w:tcW w:w="9599" w:type="dxa"/>
            <w:gridSpan w:val="2"/>
            <w:tcBorders/>
            <w:vAlign w:val="center"/>
          </w:tcPr>
          <w:p>
            <w:pPr>
              <w:pStyle w:val="TableContents"/>
              <w:bidi w:val="0"/>
              <w:spacing w:before="0" w:after="283"/>
              <w:jc w:val="left"/>
              <w:rPr>
                <w:sz w:val="4"/>
                <w:szCs w:val="4"/>
              </w:rPr>
            </w:pPr>
            <w:r>
              <w:rPr>
                <w:sz w:val="4"/>
                <w:szCs w:val="4"/>
              </w:rPr>
            </w:r>
          </w:p>
        </w:tc>
      </w:tr>
      <w:tr>
        <w:trPr/>
        <w:tc>
          <w:tcPr>
            <w:tcW w:w="239" w:type="dxa"/>
            <w:tcBorders/>
          </w:tcPr>
          <w:p>
            <w:pPr>
              <w:pStyle w:val="TableContents"/>
              <w:bidi w:val="0"/>
              <w:spacing w:before="0" w:after="283"/>
              <w:jc w:val="left"/>
              <w:rPr/>
            </w:pPr>
            <w:r>
              <w:rPr/>
              <w:t>(3)</w:t>
            </w:r>
          </w:p>
        </w:tc>
        <w:tc>
          <w:tcPr>
            <w:tcW w:w="123"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9476" w:type="dxa"/>
            <w:tcBorders/>
          </w:tcPr>
          <w:p>
            <w:pPr>
              <w:pStyle w:val="TableContents"/>
              <w:bidi w:val="0"/>
              <w:spacing w:before="0" w:after="283"/>
              <w:jc w:val="left"/>
              <w:rPr/>
            </w:pPr>
            <w:r>
              <w:rPr/>
              <w:t>transferred pursuant to an effective registration statement under the Securities Act of 1933, as amended (the “</w:t>
            </w:r>
            <w:r>
              <w:rPr>
                <w:i/>
              </w:rPr>
              <w:t>Securities Act</w:t>
            </w:r>
            <w:r>
              <w:rPr/>
              <w:t>”); or</w:t>
            </w:r>
          </w:p>
        </w:tc>
      </w:tr>
      <w:tr>
        <w:trPr>
          <w:trHeight w:val="120" w:hRule="atLeast"/>
        </w:trPr>
        <w:tc>
          <w:tcPr>
            <w:tcW w:w="239" w:type="dxa"/>
            <w:tcBorders/>
            <w:vAlign w:val="center"/>
          </w:tcPr>
          <w:p>
            <w:pPr>
              <w:pStyle w:val="TableContents"/>
              <w:bidi w:val="0"/>
              <w:spacing w:before="0" w:after="283"/>
              <w:jc w:val="left"/>
              <w:rPr>
                <w:sz w:val="4"/>
                <w:szCs w:val="4"/>
              </w:rPr>
            </w:pPr>
            <w:r>
              <w:rPr>
                <w:sz w:val="4"/>
                <w:szCs w:val="4"/>
              </w:rPr>
            </w:r>
          </w:p>
        </w:tc>
        <w:tc>
          <w:tcPr>
            <w:tcW w:w="367" w:type="dxa"/>
            <w:gridSpan w:val="2"/>
            <w:tcBorders/>
            <w:vAlign w:val="center"/>
          </w:tcPr>
          <w:p>
            <w:pPr>
              <w:pStyle w:val="TableContents"/>
              <w:bidi w:val="0"/>
              <w:spacing w:before="0" w:after="283"/>
              <w:jc w:val="left"/>
              <w:rPr>
                <w:sz w:val="4"/>
                <w:szCs w:val="4"/>
              </w:rPr>
            </w:pPr>
            <w:r>
              <w:rPr>
                <w:sz w:val="4"/>
                <w:szCs w:val="4"/>
              </w:rPr>
            </w:r>
          </w:p>
        </w:tc>
        <w:tc>
          <w:tcPr>
            <w:tcW w:w="9599" w:type="dxa"/>
            <w:gridSpan w:val="2"/>
            <w:tcBorders/>
            <w:vAlign w:val="center"/>
          </w:tcPr>
          <w:p>
            <w:pPr>
              <w:pStyle w:val="TableContents"/>
              <w:bidi w:val="0"/>
              <w:spacing w:before="0" w:after="283"/>
              <w:jc w:val="left"/>
              <w:rPr>
                <w:sz w:val="4"/>
                <w:szCs w:val="4"/>
              </w:rPr>
            </w:pPr>
            <w:r>
              <w:rPr>
                <w:sz w:val="4"/>
                <w:szCs w:val="4"/>
              </w:rPr>
            </w:r>
          </w:p>
        </w:tc>
      </w:tr>
      <w:tr>
        <w:trPr/>
        <w:tc>
          <w:tcPr>
            <w:tcW w:w="239" w:type="dxa"/>
            <w:tcBorders/>
          </w:tcPr>
          <w:p>
            <w:pPr>
              <w:pStyle w:val="TableContents"/>
              <w:bidi w:val="0"/>
              <w:spacing w:before="0" w:after="283"/>
              <w:jc w:val="left"/>
              <w:rPr/>
            </w:pPr>
            <w:r>
              <w:rPr/>
              <w:t>(4)</w:t>
            </w:r>
          </w:p>
        </w:tc>
        <w:tc>
          <w:tcPr>
            <w:tcW w:w="123"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9476" w:type="dxa"/>
            <w:tcBorders/>
          </w:tcPr>
          <w:p>
            <w:pPr>
              <w:pStyle w:val="TableContents"/>
              <w:bidi w:val="0"/>
              <w:spacing w:before="0" w:after="283"/>
              <w:jc w:val="left"/>
              <w:rPr/>
            </w:pPr>
            <w:r>
              <w:rPr/>
              <w:t>outside the United States in an offshore transaction within the meaning of Regulation S under the Securities Act, in compliance with Rule 904 thereunder; or</w:t>
            </w:r>
          </w:p>
        </w:tc>
      </w:tr>
      <w:tr>
        <w:trPr>
          <w:trHeight w:val="120" w:hRule="atLeast"/>
        </w:trPr>
        <w:tc>
          <w:tcPr>
            <w:tcW w:w="239" w:type="dxa"/>
            <w:tcBorders/>
            <w:vAlign w:val="center"/>
          </w:tcPr>
          <w:p>
            <w:pPr>
              <w:pStyle w:val="TableContents"/>
              <w:bidi w:val="0"/>
              <w:spacing w:before="0" w:after="283"/>
              <w:jc w:val="left"/>
              <w:rPr>
                <w:sz w:val="4"/>
                <w:szCs w:val="4"/>
              </w:rPr>
            </w:pPr>
            <w:r>
              <w:rPr>
                <w:sz w:val="4"/>
                <w:szCs w:val="4"/>
              </w:rPr>
            </w:r>
          </w:p>
        </w:tc>
        <w:tc>
          <w:tcPr>
            <w:tcW w:w="367" w:type="dxa"/>
            <w:gridSpan w:val="2"/>
            <w:tcBorders/>
            <w:vAlign w:val="center"/>
          </w:tcPr>
          <w:p>
            <w:pPr>
              <w:pStyle w:val="TableContents"/>
              <w:bidi w:val="0"/>
              <w:spacing w:before="0" w:after="283"/>
              <w:jc w:val="left"/>
              <w:rPr>
                <w:sz w:val="4"/>
                <w:szCs w:val="4"/>
              </w:rPr>
            </w:pPr>
            <w:r>
              <w:rPr>
                <w:sz w:val="4"/>
                <w:szCs w:val="4"/>
              </w:rPr>
            </w:r>
          </w:p>
        </w:tc>
        <w:tc>
          <w:tcPr>
            <w:tcW w:w="9599" w:type="dxa"/>
            <w:gridSpan w:val="2"/>
            <w:tcBorders/>
            <w:vAlign w:val="center"/>
          </w:tcPr>
          <w:p>
            <w:pPr>
              <w:pStyle w:val="TableContents"/>
              <w:bidi w:val="0"/>
              <w:spacing w:before="0" w:after="283"/>
              <w:jc w:val="left"/>
              <w:rPr>
                <w:sz w:val="4"/>
                <w:szCs w:val="4"/>
              </w:rPr>
            </w:pPr>
            <w:r>
              <w:rPr>
                <w:sz w:val="4"/>
                <w:szCs w:val="4"/>
              </w:rPr>
            </w:r>
          </w:p>
        </w:tc>
      </w:tr>
      <w:tr>
        <w:trPr/>
        <w:tc>
          <w:tcPr>
            <w:tcW w:w="239" w:type="dxa"/>
            <w:tcBorders/>
          </w:tcPr>
          <w:p>
            <w:pPr>
              <w:pStyle w:val="TableContents"/>
              <w:bidi w:val="0"/>
              <w:spacing w:before="0" w:after="283"/>
              <w:jc w:val="left"/>
              <w:rPr/>
            </w:pPr>
            <w:r>
              <w:rPr/>
              <w:t>(5)</w:t>
            </w:r>
          </w:p>
        </w:tc>
        <w:tc>
          <w:tcPr>
            <w:tcW w:w="123"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9476" w:type="dxa"/>
            <w:tcBorders/>
          </w:tcPr>
          <w:p>
            <w:pPr>
              <w:pStyle w:val="TableContents"/>
              <w:bidi w:val="0"/>
              <w:spacing w:before="0" w:after="283"/>
              <w:jc w:val="left"/>
              <w:rPr/>
            </w:pPr>
            <w:r>
              <w:rPr/>
              <w:t xml:space="preserve">transferred to an institutional “accredited investor” (within the meaning of Rule 501(a)(1), (2), (3) or (7) under the Securities Act), that has furnished to the Trustee a signed letter containing certain representations and agreements (the form of which letter appears as </w:t>
            </w:r>
            <w:r>
              <w:rPr>
                <w:u w:val="single"/>
              </w:rPr>
              <w:t>Exhibit D</w:t>
            </w:r>
            <w:r>
              <w:rPr/>
              <w:t xml:space="preserve"> of the Indenture); 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34"/>
        <w:gridCol w:w="120"/>
        <w:gridCol w:w="238"/>
        <w:gridCol w:w="120"/>
        <w:gridCol w:w="9493"/>
      </w:tblGrid>
      <w:tr>
        <w:trPr/>
        <w:tc>
          <w:tcPr>
            <w:tcW w:w="2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49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34" w:type="dxa"/>
            <w:tcBorders/>
            <w:vAlign w:val="center"/>
          </w:tcPr>
          <w:p>
            <w:pPr>
              <w:pStyle w:val="TableContents"/>
              <w:bidi w:val="0"/>
              <w:spacing w:before="0" w:after="283"/>
              <w:jc w:val="left"/>
              <w:rPr>
                <w:sz w:val="4"/>
                <w:szCs w:val="4"/>
              </w:rPr>
            </w:pPr>
            <w:r>
              <w:rPr>
                <w:sz w:val="4"/>
                <w:szCs w:val="4"/>
              </w:rPr>
            </w:r>
          </w:p>
        </w:tc>
        <w:tc>
          <w:tcPr>
            <w:tcW w:w="358" w:type="dxa"/>
            <w:gridSpan w:val="2"/>
            <w:tcBorders/>
            <w:vAlign w:val="center"/>
          </w:tcPr>
          <w:p>
            <w:pPr>
              <w:pStyle w:val="TableContents"/>
              <w:bidi w:val="0"/>
              <w:spacing w:before="0" w:after="283"/>
              <w:jc w:val="left"/>
              <w:rPr>
                <w:sz w:val="4"/>
                <w:szCs w:val="4"/>
              </w:rPr>
            </w:pPr>
            <w:r>
              <w:rPr>
                <w:sz w:val="4"/>
                <w:szCs w:val="4"/>
              </w:rPr>
            </w:r>
          </w:p>
        </w:tc>
        <w:tc>
          <w:tcPr>
            <w:tcW w:w="9613" w:type="dxa"/>
            <w:gridSpan w:val="2"/>
            <w:tcBorders/>
            <w:vAlign w:val="center"/>
          </w:tcPr>
          <w:p>
            <w:pPr>
              <w:pStyle w:val="TableContents"/>
              <w:bidi w:val="0"/>
              <w:spacing w:before="0" w:after="283"/>
              <w:jc w:val="left"/>
              <w:rPr>
                <w:sz w:val="4"/>
                <w:szCs w:val="4"/>
              </w:rPr>
            </w:pPr>
            <w:r>
              <w:rPr>
                <w:sz w:val="4"/>
                <w:szCs w:val="4"/>
              </w:rPr>
            </w:r>
          </w:p>
        </w:tc>
      </w:tr>
      <w:tr>
        <w:trPr/>
        <w:tc>
          <w:tcPr>
            <w:tcW w:w="234" w:type="dxa"/>
            <w:tcBorders/>
          </w:tcPr>
          <w:p>
            <w:pPr>
              <w:pStyle w:val="TableContents"/>
              <w:bidi w:val="0"/>
              <w:spacing w:before="0" w:after="283"/>
              <w:jc w:val="left"/>
              <w:rPr/>
            </w:pPr>
            <w:r>
              <w:rPr/>
              <w:t>(6)</w:t>
            </w:r>
          </w:p>
        </w:tc>
        <w:tc>
          <w:tcPr>
            <w:tcW w:w="120" w:type="dxa"/>
            <w:tcBorders/>
            <w:vAlign w:val="bottom"/>
          </w:tcPr>
          <w:p>
            <w:pPr>
              <w:pStyle w:val="TableContents"/>
              <w:bidi w:val="0"/>
              <w:spacing w:before="0" w:after="283"/>
              <w:jc w:val="left"/>
              <w:rPr/>
            </w:pPr>
            <w:r>
              <w:rPr/>
              <w:t>  </w:t>
            </w:r>
          </w:p>
        </w:tc>
        <w:tc>
          <w:tcPr>
            <w:tcW w:w="238"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493" w:type="dxa"/>
            <w:tcBorders/>
          </w:tcPr>
          <w:p>
            <w:pPr>
              <w:pStyle w:val="TableContents"/>
              <w:bidi w:val="0"/>
              <w:spacing w:before="0" w:after="283"/>
              <w:jc w:val="left"/>
              <w:rPr/>
            </w:pPr>
            <w:r>
              <w:rPr/>
              <w:t>transferred pursuant to another available exemption from the registration requirements under the Securities Act.</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one of the boxes is checked, the Registrar will refuse to register any of the Notes evidenced by this certificate in the name of any person other than the registered Holder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box (4), (5) or (6) is checked, the Trustee or the Issuer may require, prior to registering any such transfer of the Notes, the delivery of an opinion of counsel, certification and/or other information satisfactory to each of them to confirm that such transfer is being made pursuant to an exemption from, or in a transaction not subject to, the registration requirements of the Securities Act, such as the exemption provided by Rule 144 under such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center"/>
              <w:rPr/>
            </w:pPr>
            <w:r>
              <w:rPr/>
              <w:t>Signature</w:t>
            </w:r>
          </w:p>
        </w:tc>
      </w:tr>
    </w:tbl>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1955"/>
        <w:gridCol w:w="60"/>
        <w:gridCol w:w="4400"/>
      </w:tblGrid>
      <w:tr>
        <w:trPr/>
        <w:tc>
          <w:tcPr>
            <w:tcW w:w="19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00" w:type="dxa"/>
            <w:tcBorders/>
            <w:vAlign w:val="center"/>
          </w:tcPr>
          <w:p>
            <w:pPr>
              <w:pStyle w:val="TableContents"/>
              <w:bidi w:val="0"/>
              <w:spacing w:before="0" w:after="283"/>
              <w:jc w:val="left"/>
              <w:rPr>
                <w:sz w:val="4"/>
                <w:szCs w:val="4"/>
              </w:rPr>
            </w:pPr>
            <w:r>
              <w:rPr>
                <w:sz w:val="4"/>
                <w:szCs w:val="4"/>
              </w:rPr>
            </w:r>
          </w:p>
        </w:tc>
      </w:tr>
      <w:tr>
        <w:trPr/>
        <w:tc>
          <w:tcPr>
            <w:tcW w:w="1955" w:type="dxa"/>
            <w:tcBorders/>
          </w:tcPr>
          <w:p>
            <w:pPr>
              <w:pStyle w:val="TableContents"/>
              <w:bidi w:val="0"/>
              <w:spacing w:before="0" w:after="283"/>
              <w:jc w:val="left"/>
              <w:rPr/>
            </w:pPr>
            <w:r>
              <w:rPr/>
              <w:t>Signature Guarantee:</w:t>
            </w:r>
          </w:p>
        </w:tc>
        <w:tc>
          <w:tcPr>
            <w:tcW w:w="60" w:type="dxa"/>
            <w:tcBorders/>
            <w:vAlign w:val="bottom"/>
          </w:tcPr>
          <w:p>
            <w:pPr>
              <w:pStyle w:val="TableContents"/>
              <w:bidi w:val="0"/>
              <w:spacing w:before="0" w:after="283"/>
              <w:jc w:val="left"/>
              <w:rPr/>
            </w:pPr>
            <w:r>
              <w:rPr/>
              <w:t> </w:t>
            </w:r>
          </w:p>
        </w:tc>
        <w:tc>
          <w:tcPr>
            <w:tcW w:w="4400" w:type="dxa"/>
            <w:tcBorders/>
          </w:tcPr>
          <w:p>
            <w:pPr>
              <w:pStyle w:val="TableContents"/>
              <w:pBdr>
                <w:bottom w:val="single" w:sz="2" w:space="1" w:color="000000"/>
              </w:pBdr>
              <w:bidi w:val="0"/>
              <w:spacing w:before="0" w:after="20"/>
              <w:jc w:val="left"/>
              <w:rPr/>
            </w:pPr>
            <w:r>
              <w:rPr/>
              <w:t> </w:t>
            </w:r>
          </w:p>
        </w:tc>
      </w:tr>
      <w:tr>
        <w:trPr/>
        <w:tc>
          <w:tcPr>
            <w:tcW w:w="195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0" w:type="dxa"/>
            <w:tcBorders/>
          </w:tcPr>
          <w:p>
            <w:pPr>
              <w:pStyle w:val="TableContents"/>
              <w:bidi w:val="0"/>
              <w:spacing w:before="0" w:after="283"/>
              <w:jc w:val="left"/>
              <w:rPr/>
            </w:pPr>
            <w:r>
              <w:rPr/>
              <w:t>(Signature must be guaranteed by a participant in a recognized signature guarantee medallion program)</w:t>
            </w:r>
          </w:p>
        </w:tc>
      </w:tr>
    </w:tbl>
    <w:p>
      <w:pPr>
        <w:pStyle w:val="TextBody"/>
        <w:bidi w:val="0"/>
        <w:spacing w:before="480" w:after="0"/>
        <w:jc w:val="center"/>
        <w:rPr>
          <w:rFonts w:ascii="Times New Roman" w:hAnsi="Times New Roman"/>
          <w:sz w:val="20"/>
        </w:rPr>
      </w:pPr>
      <w:r>
        <w:rPr>
          <w:rFonts w:ascii="Times New Roman" w:hAnsi="Times New Roman"/>
          <w:sz w:val="20"/>
        </w:rPr>
        <w:t xml:space="preserve">TO BE COMPLETED BY PURCHASER IF (2) ABOVE IS CHECKED. </w:t>
      </w:r>
    </w:p>
    <w:p>
      <w:pPr>
        <w:pStyle w:val="TextBody"/>
        <w:bidi w:val="0"/>
        <w:spacing w:before="240" w:after="0"/>
        <w:jc w:val="left"/>
        <w:rPr>
          <w:rFonts w:ascii="Times New Roman" w:hAnsi="Times New Roman"/>
          <w:sz w:val="20"/>
        </w:rPr>
      </w:pPr>
      <w:r>
        <w:rPr>
          <w:rFonts w:ascii="Times New Roman" w:hAnsi="Times New Roman"/>
          <w:sz w:val="20"/>
        </w:rPr>
        <w:t>The undersigned represents and warrants that it is purchasing this Note for its own account or an account with respect to which it exercises sole investment discretion and that each of it and any such account is a “qualified institutional buyer” within the meaning of Rule 144A under the Securities Act of 1933, as amended (“</w:t>
      </w:r>
      <w:r>
        <w:rPr>
          <w:rFonts w:ascii="Times New Roman" w:hAnsi="Times New Roman"/>
          <w:i/>
          <w:sz w:val="20"/>
        </w:rPr>
        <w:t>Rule 144A</w:t>
      </w:r>
      <w:r>
        <w:rPr>
          <w:rFonts w:ascii="Times New Roman" w:hAnsi="Times New Roman"/>
          <w:sz w:val="20"/>
        </w:rPr>
        <w:t xml:space="preserve">”),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[Name of Transferee]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NOTICE: To be executed by an executive officer, if an entity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OF INCREASES AND DECREASES OF 6.250% SENIOR NOTES DUE 20313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transfers, exchanges and redemption of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6"/>
        <w:gridCol w:w="102"/>
        <w:gridCol w:w="1939"/>
        <w:gridCol w:w="102"/>
        <w:gridCol w:w="2041"/>
        <w:gridCol w:w="102"/>
        <w:gridCol w:w="2042"/>
        <w:gridCol w:w="102"/>
        <w:gridCol w:w="1939"/>
      </w:tblGrid>
      <w:tr>
        <w:trPr/>
        <w:tc>
          <w:tcPr>
            <w:tcW w:w="183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183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Date of Transfer,</w:t>
            </w:r>
          </w:p>
          <w:p>
            <w:pPr>
              <w:pStyle w:val="TableContents"/>
              <w:bidi w:val="0"/>
              <w:spacing w:before="0" w:after="0"/>
              <w:jc w:val="center"/>
              <w:rPr>
                <w:rFonts w:ascii="Times New Roman" w:hAnsi="Times New Roman"/>
                <w:sz w:val="16"/>
              </w:rPr>
            </w:pPr>
            <w:r>
              <w:rPr>
                <w:rFonts w:ascii="Times New Roman" w:hAnsi="Times New Roman"/>
                <w:sz w:val="16"/>
              </w:rPr>
              <w:t>Exchange or</w:t>
            </w:r>
          </w:p>
          <w:p>
            <w:pPr>
              <w:pStyle w:val="TableContents"/>
              <w:bidi w:val="0"/>
              <w:spacing w:before="0" w:after="20"/>
              <w:jc w:val="center"/>
              <w:rPr>
                <w:rFonts w:ascii="Times New Roman" w:hAnsi="Times New Roman"/>
                <w:sz w:val="16"/>
              </w:rPr>
            </w:pPr>
            <w:r>
              <w:rPr>
                <w:rFonts w:ascii="Times New Roman" w:hAnsi="Times New Roman"/>
                <w:sz w:val="16"/>
              </w:rPr>
              <w:t>Redemption</w:t>
            </w:r>
          </w:p>
        </w:tc>
        <w:tc>
          <w:tcPr>
            <w:tcW w:w="102" w:type="dxa"/>
            <w:tcBorders/>
            <w:vAlign w:val="bottom"/>
          </w:tcPr>
          <w:p>
            <w:pPr>
              <w:pStyle w:val="TableContents"/>
              <w:bidi w:val="0"/>
              <w:spacing w:before="0" w:after="283"/>
              <w:jc w:val="left"/>
              <w:rPr/>
            </w:pPr>
            <w:r>
              <w:rPr/>
              <w:t> </w:t>
            </w:r>
          </w:p>
        </w:tc>
        <w:tc>
          <w:tcPr>
            <w:tcW w:w="193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Decrease in</w:t>
            </w:r>
          </w:p>
          <w:p>
            <w:pPr>
              <w:pStyle w:val="TableContents"/>
              <w:bidi w:val="0"/>
              <w:spacing w:before="0" w:after="0"/>
              <w:jc w:val="center"/>
              <w:rPr>
                <w:rFonts w:ascii="Times New Roman" w:hAnsi="Times New Roman"/>
                <w:sz w:val="16"/>
              </w:rPr>
            </w:pPr>
            <w:r>
              <w:rPr>
                <w:rFonts w:ascii="Times New Roman" w:hAnsi="Times New Roman"/>
                <w:sz w:val="16"/>
              </w:rPr>
              <w:t>Principal Amount of</w:t>
            </w:r>
          </w:p>
          <w:p>
            <w:pPr>
              <w:pStyle w:val="TableContents"/>
              <w:bidi w:val="0"/>
              <w:spacing w:before="0" w:after="20"/>
              <w:jc w:val="center"/>
              <w:rPr>
                <w:rFonts w:ascii="Times New Roman" w:hAnsi="Times New Roman"/>
                <w:sz w:val="16"/>
              </w:rPr>
            </w:pPr>
            <w:r>
              <w:rPr>
                <w:rFonts w:ascii="Times New Roman" w:hAnsi="Times New Roman"/>
                <w:sz w:val="16"/>
              </w:rPr>
              <w:t>this Global Note</w:t>
            </w:r>
          </w:p>
        </w:tc>
        <w:tc>
          <w:tcPr>
            <w:tcW w:w="102" w:type="dxa"/>
            <w:tcBorders/>
            <w:vAlign w:val="bottom"/>
          </w:tcPr>
          <w:p>
            <w:pPr>
              <w:pStyle w:val="TableContents"/>
              <w:bidi w:val="0"/>
              <w:spacing w:before="0" w:after="283"/>
              <w:jc w:val="left"/>
              <w:rPr/>
            </w:pPr>
            <w:r>
              <w:rPr/>
              <w:t> </w:t>
            </w:r>
          </w:p>
        </w:tc>
        <w:tc>
          <w:tcPr>
            <w:tcW w:w="204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 Increase</w:t>
            </w:r>
          </w:p>
          <w:p>
            <w:pPr>
              <w:pStyle w:val="TableContents"/>
              <w:bidi w:val="0"/>
              <w:spacing w:before="0" w:after="0"/>
              <w:jc w:val="center"/>
              <w:rPr>
                <w:rFonts w:ascii="Times New Roman" w:hAnsi="Times New Roman"/>
                <w:sz w:val="16"/>
              </w:rPr>
            </w:pPr>
            <w:r>
              <w:rPr>
                <w:rFonts w:ascii="Times New Roman" w:hAnsi="Times New Roman"/>
                <w:sz w:val="16"/>
              </w:rPr>
              <w:t>in Principal Amount</w:t>
            </w:r>
          </w:p>
          <w:p>
            <w:pPr>
              <w:pStyle w:val="TableContents"/>
              <w:bidi w:val="0"/>
              <w:spacing w:before="0" w:after="20"/>
              <w:jc w:val="center"/>
              <w:rPr>
                <w:rFonts w:ascii="Times New Roman" w:hAnsi="Times New Roman"/>
                <w:sz w:val="16"/>
              </w:rPr>
            </w:pPr>
            <w:r>
              <w:rPr>
                <w:rFonts w:ascii="Times New Roman" w:hAnsi="Times New Roman"/>
                <w:sz w:val="16"/>
              </w:rPr>
              <w:t>of this Global Note</w:t>
            </w:r>
          </w:p>
        </w:tc>
        <w:tc>
          <w:tcPr>
            <w:tcW w:w="102"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Principal Amount of</w:t>
            </w:r>
          </w:p>
          <w:p>
            <w:pPr>
              <w:pStyle w:val="TableContents"/>
              <w:bidi w:val="0"/>
              <w:spacing w:before="0" w:after="0"/>
              <w:jc w:val="center"/>
              <w:rPr>
                <w:rFonts w:ascii="Times New Roman" w:hAnsi="Times New Roman"/>
                <w:sz w:val="16"/>
              </w:rPr>
            </w:pPr>
            <w:r>
              <w:rPr>
                <w:rFonts w:ascii="Times New Roman" w:hAnsi="Times New Roman"/>
                <w:sz w:val="16"/>
              </w:rPr>
              <w:t>this Global Note</w:t>
            </w:r>
          </w:p>
          <w:p>
            <w:pPr>
              <w:pStyle w:val="TableContents"/>
              <w:bidi w:val="0"/>
              <w:spacing w:before="0" w:after="0"/>
              <w:jc w:val="center"/>
              <w:rPr>
                <w:rFonts w:ascii="Times New Roman" w:hAnsi="Times New Roman"/>
                <w:sz w:val="16"/>
              </w:rPr>
            </w:pPr>
            <w:r>
              <w:rPr>
                <w:rFonts w:ascii="Times New Roman" w:hAnsi="Times New Roman"/>
                <w:sz w:val="16"/>
              </w:rPr>
              <w:t>Following Such</w:t>
            </w:r>
          </w:p>
          <w:p>
            <w:pPr>
              <w:pStyle w:val="TableContents"/>
              <w:bidi w:val="0"/>
              <w:spacing w:before="0" w:after="0"/>
              <w:jc w:val="center"/>
              <w:rPr>
                <w:rFonts w:ascii="Times New Roman" w:hAnsi="Times New Roman"/>
                <w:sz w:val="16"/>
              </w:rPr>
            </w:pPr>
            <w:r>
              <w:rPr>
                <w:rFonts w:ascii="Times New Roman" w:hAnsi="Times New Roman"/>
                <w:sz w:val="16"/>
              </w:rPr>
              <w:t>Decrease</w:t>
            </w:r>
          </w:p>
          <w:p>
            <w:pPr>
              <w:pStyle w:val="TableContents"/>
              <w:bidi w:val="0"/>
              <w:spacing w:before="0" w:after="20"/>
              <w:jc w:val="center"/>
              <w:rPr>
                <w:rFonts w:ascii="Times New Roman" w:hAnsi="Times New Roman"/>
                <w:sz w:val="16"/>
              </w:rPr>
            </w:pPr>
            <w:r>
              <w:rPr>
                <w:rFonts w:ascii="Times New Roman" w:hAnsi="Times New Roman"/>
                <w:sz w:val="16"/>
              </w:rPr>
              <w:t>(or Increase)</w:t>
            </w:r>
          </w:p>
        </w:tc>
        <w:tc>
          <w:tcPr>
            <w:tcW w:w="102" w:type="dxa"/>
            <w:tcBorders/>
            <w:vAlign w:val="bottom"/>
          </w:tcPr>
          <w:p>
            <w:pPr>
              <w:pStyle w:val="TableContents"/>
              <w:bidi w:val="0"/>
              <w:spacing w:before="0" w:after="283"/>
              <w:jc w:val="left"/>
              <w:rPr/>
            </w:pPr>
            <w:r>
              <w:rPr/>
              <w:t> </w:t>
            </w:r>
          </w:p>
        </w:tc>
        <w:tc>
          <w:tcPr>
            <w:tcW w:w="193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Signature of Trustee</w:t>
            </w:r>
          </w:p>
          <w:p>
            <w:pPr>
              <w:pStyle w:val="TableContents"/>
              <w:bidi w:val="0"/>
              <w:spacing w:before="0" w:after="20"/>
              <w:jc w:val="center"/>
              <w:rPr>
                <w:rFonts w:ascii="Times New Roman" w:hAnsi="Times New Roman"/>
                <w:sz w:val="16"/>
              </w:rPr>
            </w:pPr>
            <w:r>
              <w:rPr>
                <w:rFonts w:ascii="Times New Roman" w:hAnsi="Times New Roman"/>
                <w:sz w:val="16"/>
              </w:rPr>
              <w:t>or Note Custodian</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[FORM OF SUPPLEMENTAL INDENTURE TO BE DELIVERED </w:t>
      </w:r>
    </w:p>
    <w:p>
      <w:pPr>
        <w:pStyle w:val="TextBody"/>
        <w:bidi w:val="0"/>
        <w:spacing w:before="0" w:after="0"/>
        <w:jc w:val="center"/>
        <w:rPr>
          <w:rFonts w:ascii="Times New Roman" w:hAnsi="Times New Roman"/>
          <w:sz w:val="20"/>
        </w:rPr>
      </w:pPr>
      <w:r>
        <w:rPr>
          <w:rFonts w:ascii="Times New Roman" w:hAnsi="Times New Roman"/>
          <w:sz w:val="20"/>
        </w:rPr>
        <w:t xml:space="preserve">BY SUBSEQUENT SUBSIDIARY GUARANTORS] </w:t>
      </w:r>
    </w:p>
    <w:p>
      <w:pPr>
        <w:pStyle w:val="TextBody"/>
        <w:bidi w:val="0"/>
        <w:spacing w:before="240" w:after="0"/>
        <w:jc w:val="left"/>
        <w:rPr>
          <w:rFonts w:ascii="Times New Roman" w:hAnsi="Times New Roman"/>
          <w:sz w:val="20"/>
        </w:rPr>
      </w:pPr>
      <w:r>
        <w:rPr>
          <w:rFonts w:ascii="Times New Roman" w:hAnsi="Times New Roman"/>
          <w:sz w:val="20"/>
        </w:rPr>
        <w:t>This Supplemental Indenture and Subsidiary Guarantee, dated as of _____________, ____ (this “</w:t>
      </w:r>
      <w:r>
        <w:rPr>
          <w:rFonts w:ascii="Times New Roman" w:hAnsi="Times New Roman"/>
          <w:i/>
          <w:sz w:val="20"/>
        </w:rPr>
        <w:t>Supplemental Indenture</w:t>
      </w:r>
      <w:r>
        <w:rPr>
          <w:rFonts w:ascii="Times New Roman" w:hAnsi="Times New Roman"/>
          <w:sz w:val="20"/>
        </w:rPr>
        <w:t>” or “</w:t>
      </w:r>
      <w:r>
        <w:rPr>
          <w:rFonts w:ascii="Times New Roman" w:hAnsi="Times New Roman"/>
          <w:i/>
          <w:sz w:val="20"/>
        </w:rPr>
        <w:t>Subsidiary</w:t>
      </w:r>
      <w:r>
        <w:rPr>
          <w:rFonts w:ascii="Times New Roman" w:hAnsi="Times New Roman"/>
          <w:sz w:val="20"/>
        </w:rPr>
        <w:t xml:space="preserve"> </w:t>
      </w:r>
      <w:r>
        <w:rPr>
          <w:rFonts w:ascii="Times New Roman" w:hAnsi="Times New Roman"/>
          <w:i/>
          <w:sz w:val="20"/>
        </w:rPr>
        <w:t>Guarantee</w:t>
      </w:r>
      <w:r>
        <w:rPr>
          <w:rFonts w:ascii="Times New Roman" w:hAnsi="Times New Roman"/>
          <w:sz w:val="20"/>
        </w:rPr>
        <w:t>”), among ____________ (the “</w:t>
      </w:r>
      <w:r>
        <w:rPr>
          <w:rFonts w:ascii="Times New Roman" w:hAnsi="Times New Roman"/>
          <w:i/>
          <w:sz w:val="20"/>
        </w:rPr>
        <w:t>New Guarantor</w:t>
      </w:r>
      <w:r>
        <w:rPr>
          <w:rFonts w:ascii="Times New Roman" w:hAnsi="Times New Roman"/>
          <w:sz w:val="20"/>
        </w:rPr>
        <w:t>”), Newell Brands Inc., a Delaware corporation (together with its successors and assigns, the “</w:t>
      </w:r>
      <w:r>
        <w:rPr>
          <w:rFonts w:ascii="Times New Roman" w:hAnsi="Times New Roman"/>
          <w:i/>
          <w:sz w:val="20"/>
        </w:rPr>
        <w:t>Issuer</w:t>
      </w:r>
      <w:r>
        <w:rPr>
          <w:rFonts w:ascii="Times New Roman" w:hAnsi="Times New Roman"/>
          <w:sz w:val="20"/>
        </w:rPr>
        <w:t>”), [each other then-existing Subsidiary Guarantor under the Indenture referred to below (the “</w:t>
      </w:r>
      <w:r>
        <w:rPr>
          <w:rFonts w:ascii="Times New Roman" w:hAnsi="Times New Roman"/>
          <w:i/>
          <w:sz w:val="20"/>
        </w:rPr>
        <w:t>Subsidiary Guarantors</w:t>
      </w:r>
      <w:r>
        <w:rPr>
          <w:rFonts w:ascii="Times New Roman" w:hAnsi="Times New Roman"/>
          <w:sz w:val="20"/>
        </w:rPr>
        <w:t xml:space="preserve">”),] and U.S. Bank Trust Company, National Association, as Trustee, paying agent and registrar under such Indenture. </w:t>
      </w:r>
    </w:p>
    <w:p>
      <w:pPr>
        <w:pStyle w:val="TextBody"/>
        <w:bidi w:val="0"/>
        <w:spacing w:before="48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the Issuer[, the Subsidiary Guarantors] and the Trustee have heretofore executed and delivered an Indenture, dated as of August 19, 2026 (as amended, supplemented, waived or otherwise modified, the “</w:t>
      </w:r>
      <w:r>
        <w:rPr>
          <w:rFonts w:ascii="Times New Roman" w:hAnsi="Times New Roman"/>
          <w:i/>
          <w:sz w:val="20"/>
        </w:rPr>
        <w:t>Indenture</w:t>
      </w:r>
      <w:r>
        <w:rPr>
          <w:rFonts w:ascii="Times New Roman" w:hAnsi="Times New Roman"/>
          <w:sz w:val="20"/>
        </w:rPr>
        <w:t>”), providing for the issuance of an unlimited aggregate principal amount of 6.250% Senior Notes due 2031 of the Issuer (the “</w:t>
      </w:r>
      <w:r>
        <w:rPr>
          <w:rFonts w:ascii="Times New Roman" w:hAnsi="Times New Roman"/>
          <w:i/>
          <w:sz w:val="20"/>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4.16 of the Indenture provides that in certain circumstances the Issuer may be required to cause certain Restricted Subsidiaries of the Issuer to execute and deliver a Guarantee with respect to the Notes on the same terms and conditions as those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Section 9.1(8) of the Indenture, the Trustee, the Issuer and any Subsidiary Guarantors are authorized to execute and deliver this Supplemental Indenture to amend the Indenture, without the consent of any Holder to add an additional Subsidiary Guarantor.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for other good and valuable consideration, the receipt of which is hereby acknowledged, the New Guarantor, the Issuer[, the existing Subsidiary Guarantors] and the Trustee mutually covenant and agree for the equal and ratable benefit of the Holders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Defined Terms</w:t>
      </w:r>
      <w:r>
        <w:rPr>
          <w:rFonts w:ascii="Times New Roman" w:hAnsi="Times New Roman"/>
          <w:sz w:val="20"/>
        </w:rPr>
        <w:t xml:space="preserve">. As used in this Supplemental Indenture, capitalized terms defined in the Indenture or in the preamble or recitals thereto are used herein as therein defined. The words “herein,” “hereof” and “hereby” and other words of similar import used in this Supplemental Indenture refer to this Supplemental Indenture as a whole and not to any particular section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Agreement to be Bound; Guarantee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Agreement to be Bound</w:t>
      </w:r>
      <w:r>
        <w:rPr>
          <w:rFonts w:ascii="Times New Roman" w:hAnsi="Times New Roman"/>
          <w:sz w:val="20"/>
        </w:rPr>
        <w:t xml:space="preserve">. The New Guarantor hereby becomes a party to the Indenture as a Subsidiary Guarantor and as such shall have all of the rights and be subject to all of the obligations and agreements of a Subsidiary Guarantor under the Indenture. The New Guarantor agrees to be bound by all of the provisions of the Indenture applicable to a Subsidiary Guarantor and to perform all of the obligations and agreements of a Subsidiary Guarantor under the Indenture, subject to the release provisions and other limitations set forth in the Indenture.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Governing Law</w:t>
      </w:r>
      <w:r>
        <w:rPr>
          <w:rFonts w:ascii="Times New Roman" w:hAnsi="Times New Roman"/>
          <w:sz w:val="20"/>
        </w:rPr>
        <w:t xml:space="preserve">. THIS SUPPLEMENTAL INDENTURE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Severability Clause</w:t>
      </w:r>
      <w:r>
        <w:rPr>
          <w:rFonts w:ascii="Times New Roman" w:hAnsi="Times New Roman"/>
          <w:sz w:val="20"/>
        </w:rPr>
        <w:t xml:space="preserve">.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Ratification of Indenture; Supplemental Indentures Part of Indenture; No Liability of Trustee</w:t>
      </w:r>
      <w:r>
        <w:rPr>
          <w:rFonts w:ascii="Times New Roman" w:hAnsi="Times New Roman"/>
          <w:sz w:val="20"/>
        </w:rPr>
        <w:t xml:space="preserve">. Except as expressly amended hereby, the Indenture is in all respects ratified and confirmed and all the terms, conditions and provisions thereof shall remain in full force and effect, including, without limitation, Section 7.6 thereof. This Supplemental Indenture shall form a part of the Indenture for all purposes, and every Holder of a Note heretofore or hereafter authenticated and delivered shall be bound hereby. The Trustee makes no representation or warranty as to the validity or sufficiency of this Supplemental Indenture or the New Guarantor’s Subsidiary Guarantee. Additionally, the Trustee shall not be responsible in any manner whatsoever for or with respect to any of the recitals or statements contained herein, all of which recitals or statements are made solely by the Issuer, the New Guarantor and the Subsidiary Guarantors, and the Trustee makes no representation with respect to any such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Counterparts</w:t>
      </w:r>
      <w:r>
        <w:rPr>
          <w:rFonts w:ascii="Times New Roman" w:hAnsi="Times New Roman"/>
          <w:sz w:val="20"/>
        </w:rPr>
        <w:t>. This Supplemental Indenture may be executed in two or more counterparts, which when so executed shall constitute one and the same agreement. The exchange of copies of this Supplemental Indenture and of signature pages by facsimile or PDF transmission shall constitute effective execution and delivery of this Supplemental Indenture as to the parties hereto and may be used in lieu of the original Indenture for all purposes. Signatures of the parties hereto transmitted by facsimile or PDF shall be deemed to be their original signatures for all purposes. The words “execution,” “signed,” “signature,” “delivery,” and words of like import in or relating to this Supplemental Indenture or any document to be signed in connection with the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This Supplemental Indenture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w:t>
      </w:r>
      <w:r>
        <w:rPr>
          <w:rFonts w:ascii="Times New Roman" w:hAnsi="Times New Roman"/>
          <w:i/>
          <w:sz w:val="20"/>
        </w:rPr>
        <w:t>Signature Law</w:t>
      </w:r>
      <w:r>
        <w:rPr>
          <w:rFonts w:ascii="Times New Roman" w:hAnsi="Times New Roman"/>
          <w:sz w:val="20"/>
        </w:rPr>
        <w:t xml:space="preserve">”); (ii) an original manual signature; or (iii) a faxed, scanned, or photocopied manual signature. Each electronic signature or faxed,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Supplemental Indenture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Uniform Commercial Code or other Signature Law due to the character or intended character of the writings.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Headings</w:t>
      </w:r>
      <w:r>
        <w:rPr>
          <w:rFonts w:ascii="Times New Roman" w:hAnsi="Times New Roman"/>
          <w:sz w:val="20"/>
        </w:rPr>
        <w:t xml:space="preserve">. The headings of the Articles and the sections in this Subsidiary Guarantee are for convenience of reference only and shall not be deemed to alter or affect the meaning or interpretation of any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Trustee Disclaimer</w:t>
      </w:r>
      <w:r>
        <w:rPr>
          <w:rFonts w:ascii="Times New Roman" w:hAnsi="Times New Roman"/>
          <w:sz w:val="20"/>
        </w:rPr>
        <w:t xml:space="preserve">. The Trustee shall not be responsible in any manner whatsoever for or with respect to any of the recitals or statements contained herein, all of which recitals or statements are made solely by the Issuer and the Subsidiary Guarantor, as applicable, and the Trustee makes no representation with respect to any such matters. Additionally, the Trustee makes no representations as to the validity or sufficiency of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Consent to Jurisdiction; Waiver of Jury Trial</w:t>
      </w:r>
      <w:r>
        <w:rPr>
          <w:rFonts w:ascii="Times New Roman" w:hAnsi="Times New Roman"/>
          <w:sz w:val="20"/>
        </w:rPr>
        <w:t xml:space="preserve">. Each of the parties to this Supplemental Indenture each hereby irrevocably submits to the non-exclusive jurisdiction of any New York State or federal court sitting in the Borough of Manhattan in The City of New York in any action or proceeding arising out of or relating to the Notes, the Subsidiary Guarantees or this Supplemental Indenture, and all such parties hereby irrevocably agree that all claims in respect of such action or proceeding may be heard and determined in such New York State or federal court and hereby irrevocably waive, to the fullest extent that they may legally do so, the defense of an inconvenient forum to the maintenance of such action or proceeding. EACH OF THE ISSUER, THE NEW SUBSIDIARY GUARANTOR AND THE TRUSTEE HEREBY IRREVOCABLY WAIVES, TO THE FULLEST EXTENT PERMITTED BY APPLICABLE LAW, ANY AND ALL RIGHT TO TRIAL BY JURY IN ANY LEGAL PROCEEDING ARISING OUT OF OR RELATING TO THIS SUPPLEMENTAL INDENTURE, THE NOTES OR THE TRANSACTION CONTEMPLATED HEREBY.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[Signatures on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Supplemental Indenture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41"/>
        <w:gridCol w:w="113"/>
        <w:gridCol w:w="2928"/>
      </w:tblGrid>
      <w:tr>
        <w:trPr/>
        <w:tc>
          <w:tcPr>
            <w:tcW w:w="1041"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 xml:space="preserve">NEWELL BRANDS INC., </w:t>
            </w:r>
          </w:p>
        </w:tc>
      </w:tr>
      <w:tr>
        <w:trPr/>
        <w:tc>
          <w:tcPr>
            <w:tcW w:w="4082" w:type="dxa"/>
            <w:gridSpan w:val="3"/>
            <w:tcBorders/>
          </w:tcPr>
          <w:p>
            <w:pPr>
              <w:pStyle w:val="TableContents"/>
              <w:bidi w:val="0"/>
              <w:spacing w:before="0" w:after="283"/>
              <w:jc w:val="left"/>
              <w:rPr/>
            </w:pPr>
            <w:r>
              <w:rPr/>
              <w:t>as Issuer</w:t>
            </w:r>
          </w:p>
        </w:tc>
      </w:tr>
      <w:tr>
        <w:trPr>
          <w:trHeight w:val="240" w:hRule="atLeast"/>
        </w:trPr>
        <w:tc>
          <w:tcPr>
            <w:tcW w:w="1041" w:type="dxa"/>
            <w:tcBorders/>
            <w:vAlign w:val="center"/>
          </w:tcPr>
          <w:p>
            <w:pPr>
              <w:pStyle w:val="TableContents"/>
              <w:bidi w:val="0"/>
              <w:spacing w:before="0" w:after="283"/>
              <w:jc w:val="left"/>
              <w:rPr>
                <w:sz w:val="4"/>
                <w:szCs w:val="4"/>
              </w:rPr>
            </w:pPr>
            <w:r>
              <w:rPr>
                <w:sz w:val="4"/>
                <w:szCs w:val="4"/>
              </w:rPr>
            </w:r>
          </w:p>
        </w:tc>
        <w:tc>
          <w:tcPr>
            <w:tcW w:w="3041" w:type="dxa"/>
            <w:gridSpan w:val="2"/>
            <w:tcBorders/>
            <w:vAlign w:val="center"/>
          </w:tcPr>
          <w:p>
            <w:pPr>
              <w:pStyle w:val="TableContents"/>
              <w:bidi w:val="0"/>
              <w:spacing w:before="0" w:after="283"/>
              <w:jc w:val="left"/>
              <w:rPr>
                <w:sz w:val="4"/>
                <w:szCs w:val="4"/>
              </w:rPr>
            </w:pPr>
            <w:r>
              <w:rPr>
                <w:sz w:val="4"/>
                <w:szCs w:val="4"/>
              </w:rPr>
            </w:r>
          </w:p>
        </w:tc>
      </w:tr>
      <w:tr>
        <w:trPr/>
        <w:tc>
          <w:tcPr>
            <w:tcW w:w="1041" w:type="dxa"/>
            <w:tcBorders/>
          </w:tcPr>
          <w:p>
            <w:pPr>
              <w:pStyle w:val="TableContents"/>
              <w:bidi w:val="0"/>
              <w:spacing w:before="0" w:after="283"/>
              <w:jc w:val="left"/>
              <w:rPr/>
            </w:pPr>
            <w:r>
              <w:rPr/>
              <w:t>By:</w:t>
            </w:r>
          </w:p>
        </w:tc>
        <w:tc>
          <w:tcPr>
            <w:tcW w:w="113" w:type="dxa"/>
            <w:tcBorders/>
            <w:vAlign w:val="bottom"/>
          </w:tcPr>
          <w:p>
            <w:pPr>
              <w:pStyle w:val="TableContents"/>
              <w:bidi w:val="0"/>
              <w:spacing w:before="0" w:after="283"/>
              <w:jc w:val="left"/>
              <w:rPr/>
            </w:pPr>
            <w:r>
              <w:rPr/>
              <w:t> </w:t>
            </w:r>
          </w:p>
        </w:tc>
        <w:tc>
          <w:tcPr>
            <w:tcW w:w="2928" w:type="dxa"/>
            <w:tcBorders/>
          </w:tcPr>
          <w:p>
            <w:pPr>
              <w:pStyle w:val="TableContents"/>
              <w:pBdr>
                <w:bottom w:val="single" w:sz="2" w:space="1" w:color="000000"/>
              </w:pBdr>
              <w:bidi w:val="0"/>
              <w:spacing w:before="0" w:after="20"/>
              <w:jc w:val="left"/>
              <w:rPr/>
            </w:pPr>
            <w:r>
              <w:rPr/>
              <w:t> </w:t>
            </w:r>
          </w:p>
        </w:tc>
      </w:tr>
      <w:tr>
        <w:trPr/>
        <w:tc>
          <w:tcPr>
            <w:tcW w:w="1041"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92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1041"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92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[EXISTING GUARANTORS]</w:t>
            </w:r>
          </w:p>
        </w:tc>
      </w:tr>
      <w:tr>
        <w:trPr>
          <w:trHeight w:val="240" w:hRule="atLeast"/>
        </w:trPr>
        <w:tc>
          <w:tcPr>
            <w:tcW w:w="1041" w:type="dxa"/>
            <w:tcBorders/>
            <w:vAlign w:val="center"/>
          </w:tcPr>
          <w:p>
            <w:pPr>
              <w:pStyle w:val="TableContents"/>
              <w:bidi w:val="0"/>
              <w:spacing w:before="0" w:after="283"/>
              <w:jc w:val="left"/>
              <w:rPr>
                <w:sz w:val="4"/>
                <w:szCs w:val="4"/>
              </w:rPr>
            </w:pPr>
            <w:r>
              <w:rPr>
                <w:sz w:val="4"/>
                <w:szCs w:val="4"/>
              </w:rPr>
            </w:r>
          </w:p>
        </w:tc>
        <w:tc>
          <w:tcPr>
            <w:tcW w:w="3041" w:type="dxa"/>
            <w:gridSpan w:val="2"/>
            <w:tcBorders/>
            <w:vAlign w:val="center"/>
          </w:tcPr>
          <w:p>
            <w:pPr>
              <w:pStyle w:val="TableContents"/>
              <w:bidi w:val="0"/>
              <w:spacing w:before="0" w:after="283"/>
              <w:jc w:val="left"/>
              <w:rPr>
                <w:sz w:val="4"/>
                <w:szCs w:val="4"/>
              </w:rPr>
            </w:pPr>
            <w:r>
              <w:rPr>
                <w:sz w:val="4"/>
                <w:szCs w:val="4"/>
              </w:rPr>
            </w:r>
          </w:p>
        </w:tc>
      </w:tr>
      <w:tr>
        <w:trPr/>
        <w:tc>
          <w:tcPr>
            <w:tcW w:w="1041" w:type="dxa"/>
            <w:tcBorders/>
          </w:tcPr>
          <w:p>
            <w:pPr>
              <w:pStyle w:val="TableContents"/>
              <w:bidi w:val="0"/>
              <w:spacing w:before="0" w:after="283"/>
              <w:jc w:val="left"/>
              <w:rPr/>
            </w:pPr>
            <w:r>
              <w:rPr/>
              <w:t>By:</w:t>
            </w:r>
          </w:p>
        </w:tc>
        <w:tc>
          <w:tcPr>
            <w:tcW w:w="113" w:type="dxa"/>
            <w:tcBorders/>
            <w:vAlign w:val="bottom"/>
          </w:tcPr>
          <w:p>
            <w:pPr>
              <w:pStyle w:val="TableContents"/>
              <w:bidi w:val="0"/>
              <w:spacing w:before="0" w:after="283"/>
              <w:jc w:val="left"/>
              <w:rPr/>
            </w:pPr>
            <w:r>
              <w:rPr/>
              <w:t> </w:t>
            </w:r>
          </w:p>
        </w:tc>
        <w:tc>
          <w:tcPr>
            <w:tcW w:w="2928" w:type="dxa"/>
            <w:tcBorders/>
          </w:tcPr>
          <w:p>
            <w:pPr>
              <w:pStyle w:val="TableContents"/>
              <w:pBdr>
                <w:bottom w:val="single" w:sz="2" w:space="1" w:color="000000"/>
              </w:pBdr>
              <w:bidi w:val="0"/>
              <w:spacing w:before="0" w:after="20"/>
              <w:jc w:val="left"/>
              <w:rPr/>
            </w:pPr>
            <w:r>
              <w:rPr/>
              <w:t> </w:t>
            </w:r>
          </w:p>
        </w:tc>
      </w:tr>
      <w:tr>
        <w:trPr/>
        <w:tc>
          <w:tcPr>
            <w:tcW w:w="1041"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92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1041"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92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[NEW GUARANTOR],</w:t>
            </w:r>
          </w:p>
        </w:tc>
      </w:tr>
      <w:tr>
        <w:trPr/>
        <w:tc>
          <w:tcPr>
            <w:tcW w:w="4082" w:type="dxa"/>
            <w:gridSpan w:val="3"/>
            <w:tcBorders/>
          </w:tcPr>
          <w:p>
            <w:pPr>
              <w:pStyle w:val="TableContents"/>
              <w:bidi w:val="0"/>
              <w:spacing w:before="0" w:after="283"/>
              <w:jc w:val="left"/>
              <w:rPr/>
            </w:pPr>
            <w:r>
              <w:rPr/>
              <w:t>as a Guarantor</w:t>
            </w:r>
          </w:p>
        </w:tc>
      </w:tr>
      <w:tr>
        <w:trPr>
          <w:trHeight w:val="240" w:hRule="atLeast"/>
        </w:trPr>
        <w:tc>
          <w:tcPr>
            <w:tcW w:w="1041" w:type="dxa"/>
            <w:tcBorders/>
            <w:vAlign w:val="center"/>
          </w:tcPr>
          <w:p>
            <w:pPr>
              <w:pStyle w:val="TableContents"/>
              <w:bidi w:val="0"/>
              <w:spacing w:before="0" w:after="283"/>
              <w:jc w:val="left"/>
              <w:rPr>
                <w:sz w:val="4"/>
                <w:szCs w:val="4"/>
              </w:rPr>
            </w:pPr>
            <w:r>
              <w:rPr>
                <w:sz w:val="4"/>
                <w:szCs w:val="4"/>
              </w:rPr>
            </w:r>
          </w:p>
        </w:tc>
        <w:tc>
          <w:tcPr>
            <w:tcW w:w="3041" w:type="dxa"/>
            <w:gridSpan w:val="2"/>
            <w:tcBorders/>
            <w:vAlign w:val="center"/>
          </w:tcPr>
          <w:p>
            <w:pPr>
              <w:pStyle w:val="TableContents"/>
              <w:bidi w:val="0"/>
              <w:spacing w:before="0" w:after="283"/>
              <w:jc w:val="left"/>
              <w:rPr>
                <w:sz w:val="4"/>
                <w:szCs w:val="4"/>
              </w:rPr>
            </w:pPr>
            <w:r>
              <w:rPr>
                <w:sz w:val="4"/>
                <w:szCs w:val="4"/>
              </w:rPr>
            </w:r>
          </w:p>
        </w:tc>
      </w:tr>
      <w:tr>
        <w:trPr/>
        <w:tc>
          <w:tcPr>
            <w:tcW w:w="1041" w:type="dxa"/>
            <w:tcBorders/>
          </w:tcPr>
          <w:p>
            <w:pPr>
              <w:pStyle w:val="TableContents"/>
              <w:bidi w:val="0"/>
              <w:spacing w:before="0" w:after="283"/>
              <w:jc w:val="left"/>
              <w:rPr/>
            </w:pPr>
            <w:r>
              <w:rPr/>
              <w:t>By:</w:t>
            </w:r>
          </w:p>
        </w:tc>
        <w:tc>
          <w:tcPr>
            <w:tcW w:w="113" w:type="dxa"/>
            <w:tcBorders/>
            <w:vAlign w:val="bottom"/>
          </w:tcPr>
          <w:p>
            <w:pPr>
              <w:pStyle w:val="TableContents"/>
              <w:bidi w:val="0"/>
              <w:spacing w:before="0" w:after="283"/>
              <w:jc w:val="left"/>
              <w:rPr/>
            </w:pPr>
            <w:r>
              <w:rPr/>
              <w:t> </w:t>
            </w:r>
          </w:p>
        </w:tc>
        <w:tc>
          <w:tcPr>
            <w:tcW w:w="2928" w:type="dxa"/>
            <w:tcBorders/>
          </w:tcPr>
          <w:p>
            <w:pPr>
              <w:pStyle w:val="TableContents"/>
              <w:pBdr>
                <w:bottom w:val="single" w:sz="2" w:space="1" w:color="000000"/>
              </w:pBdr>
              <w:bidi w:val="0"/>
              <w:spacing w:before="0" w:after="20"/>
              <w:jc w:val="left"/>
              <w:rPr/>
            </w:pPr>
            <w:r>
              <w:rPr/>
              <w:t> </w:t>
            </w:r>
          </w:p>
        </w:tc>
      </w:tr>
      <w:tr>
        <w:trPr/>
        <w:tc>
          <w:tcPr>
            <w:tcW w:w="1041"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92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1041"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92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U.S. BANK TRUST COMPANY, NATIONAL ASSOCIATION,</w:t>
            </w:r>
          </w:p>
        </w:tc>
      </w:tr>
      <w:tr>
        <w:trPr/>
        <w:tc>
          <w:tcPr>
            <w:tcW w:w="4082" w:type="dxa"/>
            <w:gridSpan w:val="3"/>
            <w:tcBorders/>
          </w:tcPr>
          <w:p>
            <w:pPr>
              <w:pStyle w:val="TableContents"/>
              <w:bidi w:val="0"/>
              <w:spacing w:before="0" w:after="283"/>
              <w:jc w:val="left"/>
              <w:rPr/>
            </w:pPr>
            <w:r>
              <w:rPr/>
              <w:t>as Trustee</w:t>
            </w:r>
          </w:p>
        </w:tc>
      </w:tr>
      <w:tr>
        <w:trPr>
          <w:trHeight w:val="240" w:hRule="atLeast"/>
        </w:trPr>
        <w:tc>
          <w:tcPr>
            <w:tcW w:w="1041" w:type="dxa"/>
            <w:tcBorders/>
            <w:vAlign w:val="center"/>
          </w:tcPr>
          <w:p>
            <w:pPr>
              <w:pStyle w:val="TableContents"/>
              <w:bidi w:val="0"/>
              <w:spacing w:before="0" w:after="283"/>
              <w:jc w:val="left"/>
              <w:rPr>
                <w:sz w:val="4"/>
                <w:szCs w:val="4"/>
              </w:rPr>
            </w:pPr>
            <w:r>
              <w:rPr>
                <w:sz w:val="4"/>
                <w:szCs w:val="4"/>
              </w:rPr>
            </w:r>
          </w:p>
        </w:tc>
        <w:tc>
          <w:tcPr>
            <w:tcW w:w="3041" w:type="dxa"/>
            <w:gridSpan w:val="2"/>
            <w:tcBorders/>
            <w:vAlign w:val="center"/>
          </w:tcPr>
          <w:p>
            <w:pPr>
              <w:pStyle w:val="TableContents"/>
              <w:bidi w:val="0"/>
              <w:spacing w:before="0" w:after="283"/>
              <w:jc w:val="left"/>
              <w:rPr>
                <w:sz w:val="4"/>
                <w:szCs w:val="4"/>
              </w:rPr>
            </w:pPr>
            <w:r>
              <w:rPr>
                <w:sz w:val="4"/>
                <w:szCs w:val="4"/>
              </w:rPr>
            </w:r>
          </w:p>
        </w:tc>
      </w:tr>
      <w:tr>
        <w:trPr/>
        <w:tc>
          <w:tcPr>
            <w:tcW w:w="1041" w:type="dxa"/>
            <w:tcBorders/>
          </w:tcPr>
          <w:p>
            <w:pPr>
              <w:pStyle w:val="TableContents"/>
              <w:bidi w:val="0"/>
              <w:spacing w:before="0" w:after="283"/>
              <w:jc w:val="left"/>
              <w:rPr/>
            </w:pPr>
            <w:r>
              <w:rPr/>
              <w:t>By:</w:t>
            </w:r>
          </w:p>
        </w:tc>
        <w:tc>
          <w:tcPr>
            <w:tcW w:w="113" w:type="dxa"/>
            <w:tcBorders/>
            <w:vAlign w:val="bottom"/>
          </w:tcPr>
          <w:p>
            <w:pPr>
              <w:pStyle w:val="TableContents"/>
              <w:bidi w:val="0"/>
              <w:spacing w:before="0" w:after="283"/>
              <w:jc w:val="left"/>
              <w:rPr/>
            </w:pPr>
            <w:r>
              <w:rPr/>
              <w:t> </w:t>
            </w:r>
          </w:p>
        </w:tc>
        <w:tc>
          <w:tcPr>
            <w:tcW w:w="2928" w:type="dxa"/>
            <w:tcBorders/>
          </w:tcPr>
          <w:p>
            <w:pPr>
              <w:pStyle w:val="TableContents"/>
              <w:pBdr>
                <w:bottom w:val="single" w:sz="2" w:space="1" w:color="000000"/>
              </w:pBdr>
              <w:bidi w:val="0"/>
              <w:spacing w:before="0" w:after="20"/>
              <w:jc w:val="left"/>
              <w:rPr/>
            </w:pPr>
            <w:r>
              <w:rPr/>
              <w:t> </w:t>
            </w:r>
          </w:p>
        </w:tc>
      </w:tr>
      <w:tr>
        <w:trPr/>
        <w:tc>
          <w:tcPr>
            <w:tcW w:w="1041"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92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1041"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92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C </w:t>
      </w:r>
    </w:p>
    <w:p>
      <w:pPr>
        <w:pStyle w:val="TextBody"/>
        <w:bidi w:val="0"/>
        <w:spacing w:before="480" w:after="0"/>
        <w:jc w:val="center"/>
        <w:rPr>
          <w:rFonts w:ascii="Times New Roman" w:hAnsi="Times New Roman"/>
          <w:sz w:val="20"/>
        </w:rPr>
      </w:pPr>
      <w:r>
        <w:rPr>
          <w:rFonts w:ascii="Times New Roman" w:hAnsi="Times New Roman"/>
          <w:sz w:val="20"/>
        </w:rPr>
        <w:t xml:space="preserve">[FORM OF CERTIFICATE TO BE DELIVERED </w:t>
      </w:r>
    </w:p>
    <w:p>
      <w:pPr>
        <w:pStyle w:val="TextBody"/>
        <w:bidi w:val="0"/>
        <w:spacing w:before="0" w:after="0"/>
        <w:jc w:val="center"/>
        <w:rPr>
          <w:rFonts w:ascii="Times New Roman" w:hAnsi="Times New Roman"/>
          <w:sz w:val="20"/>
        </w:rPr>
      </w:pPr>
      <w:r>
        <w:rPr>
          <w:rFonts w:ascii="Times New Roman" w:hAnsi="Times New Roman"/>
          <w:sz w:val="20"/>
        </w:rPr>
        <w:t xml:space="preserve">IN CONNECTION WITH TRANSFERS PURSUANT TO REGULATION S] </w:t>
      </w:r>
    </w:p>
    <w:p>
      <w:pPr>
        <w:pStyle w:val="TextBody"/>
        <w:bidi w:val="0"/>
        <w:spacing w:before="240" w:after="0"/>
        <w:jc w:val="left"/>
        <w:rPr>
          <w:rFonts w:ascii="Times New Roman" w:hAnsi="Times New Roman"/>
          <w:sz w:val="20"/>
        </w:rPr>
      </w:pPr>
      <w:r>
        <w:rPr>
          <w:rFonts w:ascii="Times New Roman" w:hAnsi="Times New Roman"/>
          <w:sz w:val="20"/>
        </w:rPr>
        <w:t xml:space="preserve">Newell Brands Inc. </w:t>
      </w:r>
    </w:p>
    <w:p>
      <w:pPr>
        <w:pStyle w:val="TextBody"/>
        <w:bidi w:val="0"/>
        <w:spacing w:before="0" w:after="0"/>
        <w:jc w:val="left"/>
        <w:rPr>
          <w:rFonts w:ascii="Times New Roman" w:hAnsi="Times New Roman"/>
          <w:sz w:val="20"/>
        </w:rPr>
      </w:pPr>
      <w:r>
        <w:rPr>
          <w:rFonts w:ascii="Times New Roman" w:hAnsi="Times New Roman"/>
          <w:sz w:val="20"/>
        </w:rPr>
        <w:t xml:space="preserve">5 Concourse Parkway NE, 8th Floor </w:t>
      </w:r>
    </w:p>
    <w:p>
      <w:pPr>
        <w:pStyle w:val="TextBody"/>
        <w:bidi w:val="0"/>
        <w:spacing w:before="0" w:after="0"/>
        <w:jc w:val="left"/>
        <w:rPr>
          <w:rFonts w:ascii="Times New Roman" w:hAnsi="Times New Roman"/>
          <w:sz w:val="20"/>
        </w:rPr>
      </w:pPr>
      <w:r>
        <w:rPr>
          <w:rFonts w:ascii="Times New Roman" w:hAnsi="Times New Roman"/>
          <w:sz w:val="20"/>
        </w:rPr>
        <w:t xml:space="preserve">Atlanta, Georgia 30328 </w:t>
      </w:r>
    </w:p>
    <w:p>
      <w:pPr>
        <w:pStyle w:val="TextBody"/>
        <w:bidi w:val="0"/>
        <w:spacing w:before="0" w:after="0"/>
        <w:jc w:val="left"/>
        <w:rPr>
          <w:rFonts w:ascii="Times New Roman" w:hAnsi="Times New Roman"/>
          <w:sz w:val="20"/>
        </w:rPr>
      </w:pPr>
      <w:r>
        <w:rPr>
          <w:rFonts w:ascii="Times New Roman" w:hAnsi="Times New Roman"/>
          <w:sz w:val="20"/>
        </w:rPr>
        <w:t xml:space="preserve">Telephone: 1-770-418-7710 </w:t>
      </w:r>
    </w:p>
    <w:p>
      <w:pPr>
        <w:pStyle w:val="TextBody"/>
        <w:bidi w:val="0"/>
        <w:spacing w:before="0" w:after="0"/>
        <w:jc w:val="left"/>
        <w:rPr>
          <w:rFonts w:ascii="Times New Roman" w:hAnsi="Times New Roman"/>
          <w:sz w:val="20"/>
        </w:rPr>
      </w:pPr>
      <w:r>
        <w:rPr>
          <w:rFonts w:ascii="Times New Roman" w:hAnsi="Times New Roman"/>
          <w:sz w:val="20"/>
        </w:rPr>
        <w:t xml:space="preserve">Email: Bradford.Turner@newellco.com </w:t>
      </w:r>
    </w:p>
    <w:p>
      <w:pPr>
        <w:pStyle w:val="TextBody"/>
        <w:bidi w:val="0"/>
        <w:spacing w:before="0" w:after="0"/>
        <w:jc w:val="left"/>
        <w:rPr>
          <w:rFonts w:ascii="Times New Roman" w:hAnsi="Times New Roman"/>
          <w:sz w:val="20"/>
        </w:rPr>
      </w:pPr>
      <w:r>
        <w:rPr>
          <w:rFonts w:ascii="Times New Roman" w:hAnsi="Times New Roman"/>
          <w:sz w:val="20"/>
        </w:rPr>
        <w:t xml:space="preserve">Attention: Bradford Turner </w:t>
      </w:r>
    </w:p>
    <w:p>
      <w:pPr>
        <w:pStyle w:val="TextBody"/>
        <w:bidi w:val="0"/>
        <w:spacing w:before="120" w:after="0"/>
        <w:jc w:val="left"/>
        <w:rPr>
          <w:rFonts w:ascii="Times New Roman" w:hAnsi="Times New Roman"/>
          <w:sz w:val="20"/>
        </w:rPr>
      </w:pPr>
      <w:r>
        <w:rPr>
          <w:rFonts w:ascii="Times New Roman" w:hAnsi="Times New Roman"/>
          <w:sz w:val="20"/>
        </w:rPr>
        <w:t>Re: Newell Brands Inc. (the “</w:t>
      </w:r>
      <w:r>
        <w:rPr>
          <w:rFonts w:ascii="Times New Roman" w:hAnsi="Times New Roman"/>
          <w:i/>
          <w:sz w:val="20"/>
        </w:rPr>
        <w:t>Issuer</w:t>
      </w:r>
      <w:r>
        <w:rPr>
          <w:rFonts w:ascii="Times New Roman" w:hAnsi="Times New Roman"/>
          <w:sz w:val="20"/>
        </w:rPr>
        <w:t>”) 6.250% Senior Notes due 2031 (the “</w:t>
      </w:r>
      <w:r>
        <w:rPr>
          <w:rFonts w:ascii="Times New Roman" w:hAnsi="Times New Roman"/>
          <w:i/>
          <w:sz w:val="20"/>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In connection with our proposed sale of $______________ aggregate principal amount of the Notes (CUSIP No. ), we confirm that such sale has been effected pursuant to and in accordance with Regulation S (“</w:t>
      </w:r>
      <w:r>
        <w:rPr>
          <w:rFonts w:ascii="Times New Roman" w:hAnsi="Times New Roman"/>
          <w:i/>
          <w:sz w:val="20"/>
        </w:rPr>
        <w:t>Regulation S</w:t>
      </w:r>
      <w:r>
        <w:rPr>
          <w:rFonts w:ascii="Times New Roman" w:hAnsi="Times New Roman"/>
          <w:sz w:val="20"/>
        </w:rPr>
        <w:t>”) under the U.S. Securities Act of 1933, as amended (the “</w:t>
      </w:r>
      <w:r>
        <w:rPr>
          <w:rFonts w:ascii="Times New Roman" w:hAnsi="Times New Roman"/>
          <w:i/>
          <w:sz w:val="20"/>
        </w:rPr>
        <w:t>Securities Act</w:t>
      </w:r>
      <w:r>
        <w:rPr>
          <w:rFonts w:ascii="Times New Roman" w:hAnsi="Times New Roman"/>
          <w:sz w:val="20"/>
        </w:rPr>
        <w:t xml:space="preserve">”), and, accordingly, we represent that: </w:t>
      </w:r>
    </w:p>
    <w:p>
      <w:pPr>
        <w:pStyle w:val="TextBody"/>
        <w:bidi w:val="0"/>
        <w:spacing w:before="120" w:after="0"/>
        <w:jc w:val="left"/>
        <w:rPr>
          <w:rFonts w:ascii="Times New Roman" w:hAnsi="Times New Roman"/>
          <w:sz w:val="20"/>
        </w:rPr>
      </w:pPr>
      <w:r>
        <w:rPr>
          <w:rFonts w:ascii="Times New Roman" w:hAnsi="Times New Roman"/>
          <w:sz w:val="20"/>
        </w:rPr>
        <w:t xml:space="preserve">(1) the offer of the Notes was not made to a person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(2) either (a) at the time the buy order was originated, the transferee was outside the United States or we and any person acting on our behalf reasonably believed that the transferee was outside the United States or (b) the transaction was executed in, on or through the facilities of a designated off-shore securities market and neither we nor any person acting on our behalf knows that the transaction has been pre-arranged with a buyer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(3) no directed selling efforts have been made in the United States in contravention of the requirements of Rule 903(b) or Rule 904(b) of Regulation S, as applicable; and </w:t>
      </w:r>
    </w:p>
    <w:p>
      <w:pPr>
        <w:pStyle w:val="TextBody"/>
        <w:bidi w:val="0"/>
        <w:spacing w:before="120" w:after="0"/>
        <w:jc w:val="left"/>
        <w:rPr>
          <w:rFonts w:ascii="Times New Roman" w:hAnsi="Times New Roman"/>
          <w:sz w:val="20"/>
        </w:rPr>
      </w:pPr>
      <w:r>
        <w:rPr>
          <w:rFonts w:ascii="Times New Roman" w:hAnsi="Times New Roman"/>
          <w:sz w:val="20"/>
        </w:rPr>
        <w:t xml:space="preserve">(4) the transaction is not part of a plan or scheme to evade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sale is made during a restricted period and the provisions of Rule 903(b) or Rule 904(b) of Regulation S are applicable thereto, we confirm that such sale has been made in accordance with the applicable provisions of Rule 903(b) or Rule 904(b),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you are entitled to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 of Transferor]</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Authorized Signature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D </w:t>
      </w:r>
    </w:p>
    <w:p>
      <w:pPr>
        <w:pStyle w:val="TextBody"/>
        <w:bidi w:val="0"/>
        <w:spacing w:before="480" w:after="0"/>
        <w:jc w:val="center"/>
        <w:rPr>
          <w:rFonts w:ascii="Times New Roman" w:hAnsi="Times New Roman"/>
          <w:sz w:val="20"/>
        </w:rPr>
      </w:pPr>
      <w:r>
        <w:rPr>
          <w:rFonts w:ascii="Times New Roman" w:hAnsi="Times New Roman"/>
          <w:sz w:val="20"/>
        </w:rPr>
        <w:t xml:space="preserve">[FORM OF CERTIFICATE TO BE DELIVERED </w:t>
      </w:r>
    </w:p>
    <w:p>
      <w:pPr>
        <w:pStyle w:val="TextBody"/>
        <w:bidi w:val="0"/>
        <w:spacing w:before="0" w:after="0"/>
        <w:jc w:val="center"/>
        <w:rPr>
          <w:rFonts w:ascii="Times New Roman" w:hAnsi="Times New Roman"/>
          <w:sz w:val="20"/>
        </w:rPr>
      </w:pPr>
      <w:r>
        <w:rPr>
          <w:rFonts w:ascii="Times New Roman" w:hAnsi="Times New Roman"/>
          <w:sz w:val="20"/>
        </w:rPr>
        <w:t xml:space="preserve">IN CONNECTION WITH TRANSFERS TO IAIs] </w:t>
      </w:r>
    </w:p>
    <w:p>
      <w:pPr>
        <w:pStyle w:val="TextBody"/>
        <w:bidi w:val="0"/>
        <w:spacing w:before="240" w:after="0"/>
        <w:jc w:val="left"/>
        <w:rPr>
          <w:rFonts w:ascii="Times New Roman" w:hAnsi="Times New Roman"/>
          <w:sz w:val="20"/>
        </w:rPr>
      </w:pPr>
      <w:r>
        <w:rPr>
          <w:rFonts w:ascii="Times New Roman" w:hAnsi="Times New Roman"/>
          <w:sz w:val="20"/>
        </w:rPr>
        <w:t xml:space="preserve">Newell Brands Inc. </w:t>
      </w:r>
    </w:p>
    <w:p>
      <w:pPr>
        <w:pStyle w:val="TextBody"/>
        <w:bidi w:val="0"/>
        <w:spacing w:before="0" w:after="0"/>
        <w:jc w:val="left"/>
        <w:rPr>
          <w:rFonts w:ascii="Times New Roman" w:hAnsi="Times New Roman"/>
          <w:sz w:val="20"/>
        </w:rPr>
      </w:pPr>
      <w:r>
        <w:rPr>
          <w:rFonts w:ascii="Times New Roman" w:hAnsi="Times New Roman"/>
          <w:sz w:val="20"/>
        </w:rPr>
        <w:t xml:space="preserve">5 Concourse Parkway NE, 8th Floor </w:t>
      </w:r>
    </w:p>
    <w:p>
      <w:pPr>
        <w:pStyle w:val="TextBody"/>
        <w:bidi w:val="0"/>
        <w:spacing w:before="0" w:after="0"/>
        <w:jc w:val="left"/>
        <w:rPr>
          <w:rFonts w:ascii="Times New Roman" w:hAnsi="Times New Roman"/>
          <w:sz w:val="20"/>
        </w:rPr>
      </w:pPr>
      <w:r>
        <w:rPr>
          <w:rFonts w:ascii="Times New Roman" w:hAnsi="Times New Roman"/>
          <w:sz w:val="20"/>
        </w:rPr>
        <w:t xml:space="preserve">Atlanta, Georgia 30328 </w:t>
      </w:r>
    </w:p>
    <w:p>
      <w:pPr>
        <w:pStyle w:val="TextBody"/>
        <w:bidi w:val="0"/>
        <w:spacing w:before="0" w:after="0"/>
        <w:jc w:val="left"/>
        <w:rPr>
          <w:rFonts w:ascii="Times New Roman" w:hAnsi="Times New Roman"/>
          <w:sz w:val="20"/>
        </w:rPr>
      </w:pPr>
      <w:r>
        <w:rPr>
          <w:rFonts w:ascii="Times New Roman" w:hAnsi="Times New Roman"/>
          <w:sz w:val="20"/>
        </w:rPr>
        <w:t xml:space="preserve">Telephone: 1-770-418-7710 </w:t>
      </w:r>
    </w:p>
    <w:p>
      <w:pPr>
        <w:pStyle w:val="TextBody"/>
        <w:bidi w:val="0"/>
        <w:spacing w:before="0" w:after="0"/>
        <w:jc w:val="left"/>
        <w:rPr>
          <w:rFonts w:ascii="Times New Roman" w:hAnsi="Times New Roman"/>
          <w:sz w:val="20"/>
        </w:rPr>
      </w:pPr>
      <w:r>
        <w:rPr>
          <w:rFonts w:ascii="Times New Roman" w:hAnsi="Times New Roman"/>
          <w:sz w:val="20"/>
        </w:rPr>
        <w:t xml:space="preserve">Email: Bradford.Turner@newellco.com </w:t>
      </w:r>
    </w:p>
    <w:p>
      <w:pPr>
        <w:pStyle w:val="TextBody"/>
        <w:bidi w:val="0"/>
        <w:spacing w:before="0" w:after="0"/>
        <w:jc w:val="left"/>
        <w:rPr>
          <w:rFonts w:ascii="Times New Roman" w:hAnsi="Times New Roman"/>
          <w:sz w:val="20"/>
        </w:rPr>
      </w:pPr>
      <w:r>
        <w:rPr>
          <w:rFonts w:ascii="Times New Roman" w:hAnsi="Times New Roman"/>
          <w:sz w:val="20"/>
        </w:rPr>
        <w:t xml:space="preserve">Attention: Bradford Turner </w:t>
      </w:r>
    </w:p>
    <w:p>
      <w:pPr>
        <w:pStyle w:val="TextBody"/>
        <w:bidi w:val="0"/>
        <w:spacing w:before="120" w:after="0"/>
        <w:jc w:val="left"/>
        <w:rPr>
          <w:rFonts w:ascii="Times New Roman" w:hAnsi="Times New Roman"/>
          <w:sz w:val="20"/>
        </w:rPr>
      </w:pPr>
      <w:r>
        <w:rPr>
          <w:rFonts w:ascii="Times New Roman" w:hAnsi="Times New Roman"/>
          <w:sz w:val="20"/>
        </w:rPr>
        <w:t>Re: Newell Brands Inc. (the “</w:t>
      </w:r>
      <w:r>
        <w:rPr>
          <w:rFonts w:ascii="Times New Roman" w:hAnsi="Times New Roman"/>
          <w:i/>
          <w:sz w:val="20"/>
        </w:rPr>
        <w:t>Issuer</w:t>
      </w:r>
      <w:r>
        <w:rPr>
          <w:rFonts w:ascii="Times New Roman" w:hAnsi="Times New Roman"/>
          <w:sz w:val="20"/>
        </w:rPr>
        <w:t>”) 6.250% Senior Notes due 2031 (the “</w:t>
      </w:r>
      <w:r>
        <w:rPr>
          <w:rFonts w:ascii="Times New Roman" w:hAnsi="Times New Roman"/>
          <w:i/>
          <w:sz w:val="20"/>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This certificate is delivered to request a transfer of $_____________ principal amount of the Notes. </w:t>
      </w:r>
    </w:p>
    <w:p>
      <w:pPr>
        <w:pStyle w:val="TextBody"/>
        <w:bidi w:val="0"/>
        <w:spacing w:before="240" w:after="0"/>
        <w:jc w:val="left"/>
        <w:rPr>
          <w:rFonts w:ascii="Times New Roman" w:hAnsi="Times New Roman"/>
          <w:sz w:val="20"/>
        </w:rPr>
      </w:pPr>
      <w:r>
        <w:rPr>
          <w:rFonts w:ascii="Times New Roman" w:hAnsi="Times New Roman"/>
          <w:sz w:val="20"/>
        </w:rPr>
        <w:t xml:space="preserve">Upon transfer, the Notes would be registered in the name of the new beneficial owner as follows: </w:t>
      </w:r>
    </w:p>
    <w:p>
      <w:pPr>
        <w:pStyle w:val="TextBody"/>
        <w:bidi w:val="0"/>
        <w:spacing w:before="120" w:after="0"/>
        <w:jc w:val="left"/>
        <w:rPr>
          <w:rFonts w:ascii="Times New Roman" w:hAnsi="Times New Roman"/>
          <w:sz w:val="20"/>
        </w:rPr>
      </w:pPr>
      <w:r>
        <w:rPr>
          <w:rFonts w:ascii="Times New Roman" w:hAnsi="Times New Roman"/>
          <w:sz w:val="20"/>
        </w:rPr>
        <w:t xml:space="preserve">Name: </w:t>
      </w:r>
      <w:r>
        <w:rPr>
          <w:rFonts w:ascii="Times New Roman" w:hAnsi="Times New Roman"/>
          <w:sz w:val="20"/>
          <w:u w:val="single"/>
        </w:rPr>
        <w:t>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Address: </w:t>
      </w:r>
      <w:r>
        <w:rPr>
          <w:rFonts w:ascii="Times New Roman" w:hAnsi="Times New Roman"/>
          <w:sz w:val="20"/>
          <w:u w:val="single"/>
        </w:rPr>
        <w:t>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Taxpayer ID Number: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represents and warrants to you that: </w:t>
      </w:r>
    </w:p>
    <w:p>
      <w:pPr>
        <w:pStyle w:val="TextBody"/>
        <w:bidi w:val="0"/>
        <w:spacing w:before="240" w:after="0"/>
        <w:jc w:val="left"/>
        <w:rPr>
          <w:rFonts w:ascii="Times New Roman" w:hAnsi="Times New Roman"/>
          <w:sz w:val="20"/>
        </w:rPr>
      </w:pPr>
      <w:r>
        <w:rPr>
          <w:rFonts w:ascii="Times New Roman" w:hAnsi="Times New Roman"/>
          <w:sz w:val="20"/>
        </w:rPr>
        <w:t>1. We are an institutional “accredited investor” (as defined in Rule 501(a)(1), (2), (3) or (7) under the Securities Act of 1933, as amended (the “</w:t>
      </w:r>
      <w:r>
        <w:rPr>
          <w:rFonts w:ascii="Times New Roman" w:hAnsi="Times New Roman"/>
          <w:i/>
          <w:sz w:val="20"/>
        </w:rPr>
        <w:t>Securities Act</w:t>
      </w:r>
      <w:r>
        <w:rPr>
          <w:rFonts w:ascii="Times New Roman" w:hAnsi="Times New Roman"/>
          <w:sz w:val="20"/>
        </w:rPr>
        <w:t xml:space="preserve">”)), purchasing for our own account or for the account of such an institutional “accredited investor” at least $250,000 principal amount of the Notes, and we are acquiring the Notes not with a view to, or for offer or sale in connection with, any distribution in violation of the Securities Act. We have such knowledge and experience in financial and business matters as to be capable of evaluating the merits and risk of our investment in the Notes, and we invest in or purchase securities similar to the Notes in the normal course of our business. We and any accounts for which we are acting are each able to bear the economic risk of our or its investment. </w:t>
      </w:r>
    </w:p>
    <w:p>
      <w:pPr>
        <w:pStyle w:val="TextBody"/>
        <w:bidi w:val="0"/>
        <w:spacing w:before="240" w:after="0"/>
        <w:jc w:val="left"/>
        <w:rPr>
          <w:rFonts w:ascii="Times New Roman" w:hAnsi="Times New Roman"/>
          <w:sz w:val="20"/>
        </w:rPr>
      </w:pPr>
      <w:r>
        <w:rPr>
          <w:rFonts w:ascii="Times New Roman" w:hAnsi="Times New Roman"/>
          <w:sz w:val="20"/>
        </w:rPr>
        <w:t xml:space="preserve">2. We understand that the Notes have not been registered under the Securities Act (or the securities laws of any state or other jurisdiction) and, unless so registered, may not be reoffered, sold, assigned, transferred, pledged, encumbered or otherwise disposed of except as permitted in the following sentence. We agree on our own behalf and on behalf of any investor account for which we are purchasing Notes to offer, sell or otherwise transfer such Notes prior to the date that is six months after the later of the date of original issue, the original issue date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additional Notes and the last date on which the Issuer or any affiliate of the Issuer was the owner of such Notes (or any predecessor thereto) (the “</w:t>
      </w:r>
      <w:r>
        <w:rPr>
          <w:rFonts w:ascii="Times New Roman" w:hAnsi="Times New Roman"/>
          <w:i/>
          <w:sz w:val="20"/>
        </w:rPr>
        <w:t>Resale Restriction Termination Date</w:t>
      </w:r>
      <w:r>
        <w:rPr>
          <w:rFonts w:ascii="Times New Roman" w:hAnsi="Times New Roman"/>
          <w:sz w:val="20"/>
        </w:rPr>
        <w:t>”) only (a) to the Issuer or any of its subsidiaries, (b) pursuant to a registration statement that has been declared effective under the Securities Act, (c) for so long as the Notes are eligible for resale pursuant to Rule 144A under the Securities Act, in a transaction complying with the requirements of Rule 144A under the Securities Act, to a person we reasonably believe is a “qualified institutional buyer” under Rule 144A under the Securities Act (a “</w:t>
      </w:r>
      <w:r>
        <w:rPr>
          <w:rFonts w:ascii="Times New Roman" w:hAnsi="Times New Roman"/>
          <w:i/>
          <w:sz w:val="20"/>
        </w:rPr>
        <w:t>QIB</w:t>
      </w:r>
      <w:r>
        <w:rPr>
          <w:rFonts w:ascii="Times New Roman" w:hAnsi="Times New Roman"/>
          <w:sz w:val="20"/>
        </w:rPr>
        <w:t>”) that is purchasing for its own account or for the account of a QIB and to whom notice is given that the transfer is being made in reliance on Rule 144A, (d) pursuant to offers and sales that occur outside the United States to non-U.S. persons, in compliance with Regulation S under the Securities Act, (e) to an institutional “accredited investor” within the meaning of Rule 501(a)(1), (2), (3) or (7) under the Securities Act that is not a QIB and is purchasing for its own account or for the account of another institutional “accredited investor,” in each case in a minimum principal amount of Notes of $250,000, for investment purposes and not with a view to or for offer or sale in connection with any distribution in violation of the Securities Act or (f) pursuant to any other available exemption from the registration requirements of the Securities Act, subject in each of the foregoing cases to any requirement of law that the disposition of our property or the property of such investor account or accounts be at all times within our or their control and in compliance with any applicable state securities laws. The foregoing restrictions on resale will not apply subsequent to the Resale Restriction Termination Date. If any resale or other transfer of the Notes is proposed to be made pursuant to clause (e) above prior to the Resale Restriction Termination Date, the transferor shall deliver a letter from the transferee substantially in the form of this letter to the Issuer and U.S. Bank Trust Company, National Association, as trustee (the “</w:t>
      </w:r>
      <w:r>
        <w:rPr>
          <w:rFonts w:ascii="Times New Roman" w:hAnsi="Times New Roman"/>
          <w:i/>
          <w:sz w:val="20"/>
        </w:rPr>
        <w:t>Trustee</w:t>
      </w:r>
      <w:r>
        <w:rPr>
          <w:rFonts w:ascii="Times New Roman" w:hAnsi="Times New Roman"/>
          <w:sz w:val="20"/>
        </w:rPr>
        <w:t xml:space="preserve">”), which shall provide, among other things, that the transferee is an institutional “accredited investor” (within the meaning of Rule 501(a)(1), (2), (3) or (7) under the Securities Act) and that it is acquiring such Notes for investment purposes and not for distribution in violation of the Securities Act. Each purchaser acknowledges that the Issuer and the Trustee reserve the right prior to any offer, sale or other transfer prior to the Resale Restriction Termination Date of the Notes pursuant to clause (d), (e) or (f) above to require the delivery of an opinion of counsel, certifications and/or other information satisfactory to the Issuer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3. We [are] [are not] an affiliate of the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and the Issuer are entitled to rely upon this letter and are irrevocably authorized to produce this letter or a copy hereof to any interested party in any administrative or legal proceedings or official inquiry with respect to the matters covered hereby.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 of Transferor]</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Authorized Signature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135</Pages>
  <Words>60371</Words>
  <Characters>310971</Characters>
  <CharactersWithSpaces>371740</CharactersWithSpaces>
  <Paragraphs>2567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EX-4.1</dc:title>
</cp:coreProperties>
</file>