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Pr>
          <w:p>
            <w:pPr>
              <w:ind w:left="760"/>
              <w:spacing w:after="0" w:line="206"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7"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w w:val="99"/>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5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7023100" cy="3692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6925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8"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restart"/>
          </w:tcPr>
          <w:p>
            <w:pPr>
              <w:spacing w:after="0" w:line="181" w:lineRule="exact"/>
              <w:rPr>
                <w:rFonts w:ascii="Arial" w:cs="Arial" w:eastAsia="Arial" w:hAnsi="Arial"/>
                <w:sz w:val="16"/>
                <w:szCs w:val="16"/>
                <w:color w:val="0000EE"/>
                <w:w w:val="88"/>
              </w:rPr>
            </w:pPr>
            <w:hyperlink r:id="rId11">
              <w:r>
                <w:rPr>
                  <w:rFonts w:ascii="Arial" w:cs="Arial" w:eastAsia="Arial" w:hAnsi="Arial"/>
                  <w:sz w:val="16"/>
                  <w:szCs w:val="16"/>
                  <w:color w:val="0000EE"/>
                  <w:w w:val="88"/>
                </w:rPr>
                <w:t>Senovich Dennis</w:t>
              </w:r>
            </w:hyperlink>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0000EE"/>
            </w:tcBorders>
            <w:gridSpan w:val="2"/>
            <w:vMerge w:val="continue"/>
          </w:tcPr>
          <w:p>
            <w:pPr>
              <w:spacing w:after="0"/>
              <w:rPr>
                <w:sz w:val="9"/>
                <w:szCs w:val="9"/>
                <w:color w:val="auto"/>
              </w:rPr>
            </w:pPr>
          </w:p>
        </w:tc>
        <w:tc>
          <w:tcPr>
            <w:tcW w:w="1020" w:type="dxa"/>
            <w:vAlign w:val="bottom"/>
            <w:vMerge w:val="restart"/>
          </w:tcPr>
          <w:p>
            <w:pPr>
              <w:spacing w:after="0"/>
              <w:rPr>
                <w:sz w:val="9"/>
                <w:szCs w:val="9"/>
                <w:color w:val="auto"/>
              </w:rPr>
            </w:pPr>
          </w:p>
        </w:tc>
        <w:tc>
          <w:tcPr>
            <w:tcW w:w="2420" w:type="dxa"/>
            <w:vAlign w:val="bottom"/>
            <w:gridSpan w:val="2"/>
            <w:vMerge w:val="restart"/>
          </w:tcPr>
          <w:p>
            <w:pPr>
              <w:ind w:left="1160"/>
              <w:spacing w:after="0"/>
              <w:rPr>
                <w:sz w:val="20"/>
                <w:szCs w:val="20"/>
                <w:color w:val="auto"/>
              </w:rPr>
            </w:pPr>
            <w:r>
              <w:rPr>
                <w:rFonts w:ascii="Arial" w:cs="Arial" w:eastAsia="Arial" w:hAnsi="Arial"/>
                <w:sz w:val="13"/>
                <w:szCs w:val="13"/>
                <w:color w:val="0000FF"/>
              </w:rPr>
              <w:t>05/15/2023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020" w:type="dxa"/>
            <w:vAlign w:val="bottom"/>
            <w:vMerge w:val="continue"/>
          </w:tcPr>
          <w:p>
            <w:pPr>
              <w:spacing w:after="0"/>
              <w:rPr>
                <w:sz w:val="3"/>
                <w:szCs w:val="3"/>
                <w:color w:val="auto"/>
              </w:rPr>
            </w:pPr>
          </w:p>
        </w:tc>
        <w:tc>
          <w:tcPr>
            <w:tcW w:w="24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(Last)</w:t>
            </w:r>
          </w:p>
        </w:tc>
        <w:tc>
          <w:tcPr>
            <w:tcW w:w="128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420" w:type="dxa"/>
            <w:vAlign w:val="bottom"/>
            <w:gridSpan w:val="2"/>
          </w:tcPr>
          <w:p>
            <w:pPr>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0000FF"/>
                <w:w w:val="94"/>
              </w:rPr>
              <w:t>6655 PEACHTREE DUNWOODY RD.</w:t>
            </w: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60" w:type="dxa"/>
            <w:vAlign w:val="bottom"/>
            <w:gridSpan w:val="3"/>
          </w:tcPr>
          <w:p>
            <w:pPr>
              <w:spacing w:after="0"/>
              <w:rPr>
                <w:sz w:val="20"/>
                <w:szCs w:val="20"/>
                <w:color w:val="auto"/>
              </w:rPr>
            </w:pPr>
            <w:r>
              <w:rPr>
                <w:rFonts w:ascii="Arial" w:cs="Arial" w:eastAsia="Arial" w:hAnsi="Arial"/>
                <w:sz w:val="10"/>
                <w:szCs w:val="10"/>
                <w:color w:val="auto"/>
              </w:rPr>
              <w:t>(Street)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0000FF"/>
              </w:rPr>
              <w:t>ATLANTA</w:t>
            </w:r>
          </w:p>
        </w:tc>
        <w:tc>
          <w:tcPr>
            <w:tcW w:w="1280" w:type="dxa"/>
            <w:vAlign w:val="bottom"/>
            <w:gridSpan w:val="2"/>
          </w:tcPr>
          <w:p>
            <w:pPr>
              <w:ind w:left="240"/>
              <w:spacing w:after="0"/>
              <w:rPr>
                <w:sz w:val="20"/>
                <w:szCs w:val="20"/>
                <w:color w:val="auto"/>
              </w:rPr>
            </w:pPr>
            <w:r>
              <w:rPr>
                <w:rFonts w:ascii="Arial" w:cs="Arial" w:eastAsia="Arial" w:hAnsi="Arial"/>
                <w:sz w:val="13"/>
                <w:szCs w:val="13"/>
                <w:color w:val="0000FF"/>
              </w:rPr>
              <w:t>GA</w:t>
            </w:r>
          </w:p>
        </w:tc>
        <w:tc>
          <w:tcPr>
            <w:tcW w:w="1040" w:type="dxa"/>
            <w:vAlign w:val="bottom"/>
          </w:tcPr>
          <w:p>
            <w:pPr>
              <w:spacing w:after="0"/>
              <w:rPr>
                <w:sz w:val="20"/>
                <w:szCs w:val="20"/>
                <w:color w:val="auto"/>
              </w:rPr>
            </w:pPr>
            <w:r>
              <w:rPr>
                <w:rFonts w:ascii="Arial" w:cs="Arial" w:eastAsia="Arial" w:hAnsi="Arial"/>
                <w:sz w:val="13"/>
                <w:szCs w:val="13"/>
                <w:color w:val="0000FF"/>
              </w:rPr>
              <w:t>30328</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(City)</w:t>
            </w:r>
          </w:p>
        </w:tc>
        <w:tc>
          <w:tcPr>
            <w:tcW w:w="1280" w:type="dxa"/>
            <w:vAlign w:val="bottom"/>
            <w:gridSpan w:val="2"/>
          </w:tcPr>
          <w:p>
            <w:pPr>
              <w:ind w:left="240"/>
              <w:spacing w:after="0"/>
              <w:rPr>
                <w:sz w:val="20"/>
                <w:szCs w:val="20"/>
                <w:color w:val="auto"/>
              </w:rPr>
            </w:pPr>
            <w:r>
              <w:rPr>
                <w:rFonts w:ascii="Arial" w:cs="Arial" w:eastAsia="Arial" w:hAnsi="Arial"/>
                <w:sz w:val="10"/>
                <w:szCs w:val="10"/>
                <w:color w:val="auto"/>
              </w:rPr>
              <w:t>(State)</w:t>
            </w:r>
          </w:p>
        </w:tc>
        <w:tc>
          <w:tcPr>
            <w:tcW w:w="2420" w:type="dxa"/>
            <w:vAlign w:val="bottom"/>
            <w:gridSpan w:val="2"/>
          </w:tcPr>
          <w:p>
            <w:pPr>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NEWELL BRANDS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NWL</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2740" w:type="dxa"/>
            <w:vAlign w:val="bottom"/>
            <w:gridSpan w:val="2"/>
          </w:tcPr>
          <w:p>
            <w:pPr>
              <w:ind w:left="40"/>
              <w:spacing w:after="0"/>
              <w:rPr>
                <w:sz w:val="20"/>
                <w:szCs w:val="20"/>
                <w:color w:val="auto"/>
              </w:rPr>
            </w:pPr>
            <w:r>
              <w:rPr>
                <w:rFonts w:ascii="Arial" w:cs="Arial" w:eastAsia="Arial" w:hAnsi="Arial"/>
                <w:sz w:val="10"/>
                <w:szCs w:val="10"/>
                <w:color w:val="auto"/>
              </w:rPr>
              <w:t>5. If Amendment, Date of Original Filed (Month/Day/Year)</w:t>
            </w:r>
          </w:p>
        </w:tc>
      </w:tr>
      <w:tr>
        <w:trPr>
          <w:trHeight w:val="127"/>
        </w:trPr>
        <w:tc>
          <w:tcPr>
            <w:tcW w:w="184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40"/>
        </w:trPr>
        <w:tc>
          <w:tcPr>
            <w:tcW w:w="420" w:type="dxa"/>
            <w:vAlign w:val="bottom"/>
          </w:tcPr>
          <w:p>
            <w:pPr>
              <w:spacing w:after="0"/>
              <w:rPr>
                <w:sz w:val="12"/>
                <w:szCs w:val="12"/>
                <w:color w:val="auto"/>
              </w:rPr>
            </w:pPr>
          </w:p>
        </w:tc>
        <w:tc>
          <w:tcPr>
            <w:tcW w:w="142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420" w:type="dxa"/>
            <w:vAlign w:val="bottom"/>
          </w:tcPr>
          <w:p>
            <w:pPr>
              <w:ind w:left="280"/>
              <w:spacing w:after="0"/>
              <w:rPr>
                <w:sz w:val="20"/>
                <w:szCs w:val="20"/>
                <w:color w:val="auto"/>
              </w:rPr>
            </w:pPr>
            <w:r>
              <w:rPr>
                <w:rFonts w:ascii="Arial" w:cs="Arial" w:eastAsia="Arial" w:hAnsi="Arial"/>
                <w:sz w:val="10"/>
                <w:szCs w:val="10"/>
                <w:color w:val="auto"/>
              </w:rPr>
              <w:t>10% Owner</w:t>
            </w:r>
          </w:p>
        </w:tc>
        <w:tc>
          <w:tcPr>
            <w:tcW w:w="4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88"/>
        </w:trPr>
        <w:tc>
          <w:tcPr>
            <w:tcW w:w="420" w:type="dxa"/>
            <w:vAlign w:val="bottom"/>
          </w:tcPr>
          <w:p>
            <w:pPr>
              <w:ind w:left="220"/>
              <w:spacing w:after="0"/>
              <w:rPr>
                <w:sz w:val="20"/>
                <w:szCs w:val="20"/>
                <w:color w:val="auto"/>
              </w:rPr>
            </w:pPr>
            <w:r>
              <w:rPr>
                <w:rFonts w:ascii="Arial" w:cs="Arial" w:eastAsia="Arial" w:hAnsi="Arial"/>
                <w:sz w:val="13"/>
                <w:szCs w:val="13"/>
                <w:color w:val="0000FF"/>
              </w:rPr>
              <w:t>X</w:t>
            </w:r>
          </w:p>
        </w:tc>
        <w:tc>
          <w:tcPr>
            <w:tcW w:w="142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420" w:type="dxa"/>
            <w:vAlign w:val="bottom"/>
          </w:tcPr>
          <w:p>
            <w:pPr>
              <w:ind w:left="280"/>
              <w:spacing w:after="0"/>
              <w:rPr>
                <w:sz w:val="20"/>
                <w:szCs w:val="20"/>
                <w:color w:val="auto"/>
              </w:rPr>
            </w:pPr>
            <w:r>
              <w:rPr>
                <w:rFonts w:ascii="Arial" w:cs="Arial" w:eastAsia="Arial" w:hAnsi="Arial"/>
                <w:sz w:val="10"/>
                <w:szCs w:val="10"/>
                <w:color w:val="auto"/>
              </w:rPr>
              <w:t>Other (specify below)</w:t>
            </w:r>
          </w:p>
        </w:tc>
        <w:tc>
          <w:tcPr>
            <w:tcW w:w="4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0"/>
        </w:trPr>
        <w:tc>
          <w:tcPr>
            <w:tcW w:w="420" w:type="dxa"/>
            <w:vAlign w:val="bottom"/>
          </w:tcPr>
          <w:p>
            <w:pPr>
              <w:spacing w:after="0"/>
              <w:rPr>
                <w:sz w:val="17"/>
                <w:szCs w:val="17"/>
                <w:color w:val="auto"/>
              </w:rPr>
            </w:pPr>
          </w:p>
        </w:tc>
        <w:tc>
          <w:tcPr>
            <w:tcW w:w="2840" w:type="dxa"/>
            <w:vAlign w:val="bottom"/>
            <w:gridSpan w:val="2"/>
          </w:tcPr>
          <w:p>
            <w:pPr>
              <w:ind w:left="460"/>
              <w:spacing w:after="0"/>
              <w:rPr>
                <w:sz w:val="20"/>
                <w:szCs w:val="20"/>
                <w:color w:val="auto"/>
              </w:rPr>
            </w:pPr>
            <w:r>
              <w:rPr>
                <w:rFonts w:ascii="Arial" w:cs="Arial" w:eastAsia="Arial" w:hAnsi="Arial"/>
                <w:sz w:val="13"/>
                <w:szCs w:val="13"/>
                <w:color w:val="0000FF"/>
              </w:rPr>
              <w:t>Chief Supply Chain Officer</w:t>
            </w:r>
          </w:p>
        </w:tc>
        <w:tc>
          <w:tcPr>
            <w:tcW w:w="4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92"/>
        </w:trPr>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r>
      <w:tr>
        <w:trPr>
          <w:trHeight w:val="160"/>
        </w:trPr>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740" w:type="dxa"/>
            <w:vAlign w:val="bottom"/>
            <w:gridSpan w:val="2"/>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r>
      <w:tr>
        <w:trPr>
          <w:trHeight w:val="178"/>
        </w:trPr>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0000FF"/>
              </w:rPr>
              <w:t>X</w:t>
            </w:r>
          </w:p>
        </w:tc>
        <w:tc>
          <w:tcPr>
            <w:tcW w:w="2340" w:type="dxa"/>
            <w:vAlign w:val="bottom"/>
          </w:tcPr>
          <w:p>
            <w:pPr>
              <w:ind w:left="80"/>
              <w:spacing w:after="0"/>
              <w:rPr>
                <w:sz w:val="20"/>
                <w:szCs w:val="20"/>
                <w:color w:val="auto"/>
              </w:rPr>
            </w:pPr>
            <w:r>
              <w:rPr>
                <w:rFonts w:ascii="Arial" w:cs="Arial" w:eastAsia="Arial" w:hAnsi="Arial"/>
                <w:sz w:val="10"/>
                <w:szCs w:val="10"/>
                <w:color w:val="auto"/>
              </w:rPr>
              <w:t>Form filed by One Reporting Person</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Arial" w:cs="Arial" w:eastAsia="Arial" w:hAnsi="Arial"/>
                <w:sz w:val="10"/>
                <w:szCs w:val="10"/>
                <w:color w:val="auto"/>
              </w:rPr>
              <w:t>Form filed by More than One Reporting Person</w:t>
            </w:r>
          </w:p>
        </w:tc>
      </w:tr>
    </w:tbl>
    <w:p>
      <w:pPr>
        <w:spacing w:after="0" w:line="197"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9"/>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959"/>
              <w:spacing w:after="0"/>
              <w:rPr>
                <w:sz w:val="20"/>
                <w:szCs w:val="20"/>
                <w:color w:val="auto"/>
              </w:rPr>
            </w:pPr>
            <w:r>
              <w:rPr>
                <w:rFonts w:ascii="Arial" w:cs="Arial" w:eastAsia="Arial" w:hAnsi="Arial"/>
                <w:sz w:val="13"/>
                <w:szCs w:val="13"/>
                <w:color w:val="0000FF"/>
              </w:rPr>
              <w:t>13,688</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80" w:type="dxa"/>
            <w:vAlign w:val="bottom"/>
            <w:tcBorders>
              <w:top w:val="single" w:sz="8" w:color="2C2C2C"/>
            </w:tcBorders>
          </w:tcPr>
          <w:p>
            <w:pPr>
              <w:spacing w:after="0"/>
              <w:rPr>
                <w:sz w:val="13"/>
                <w:szCs w:val="13"/>
                <w:color w:val="auto"/>
              </w:rPr>
            </w:pPr>
          </w:p>
        </w:tc>
        <w:tc>
          <w:tcPr>
            <w:tcW w:w="800" w:type="dxa"/>
            <w:vAlign w:val="bottom"/>
            <w:tcBorders>
              <w:top w:val="single" w:sz="8" w:color="2C2C2C"/>
            </w:tcBorders>
          </w:tcPr>
          <w:p>
            <w:pPr>
              <w:spacing w:after="0"/>
              <w:rPr>
                <w:sz w:val="13"/>
                <w:szCs w:val="13"/>
                <w:color w:val="auto"/>
              </w:rPr>
            </w:pPr>
          </w:p>
        </w:tc>
        <w:tc>
          <w:tcPr>
            <w:tcW w:w="16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 Conversion</w:t>
            </w:r>
          </w:p>
        </w:tc>
        <w:tc>
          <w:tcPr>
            <w:tcW w:w="800" w:type="dxa"/>
            <w:vAlign w:val="bottom"/>
          </w:tcPr>
          <w:p>
            <w:pPr>
              <w:ind w:left="40"/>
              <w:spacing w:after="0"/>
              <w:rPr>
                <w:sz w:val="20"/>
                <w:szCs w:val="20"/>
                <w:color w:val="auto"/>
              </w:rPr>
            </w:pPr>
            <w:r>
              <w:rPr>
                <w:rFonts w:ascii="Arial" w:cs="Arial" w:eastAsia="Arial" w:hAnsi="Arial"/>
                <w:sz w:val="10"/>
                <w:szCs w:val="10"/>
                <w:b w:val="1"/>
                <w:bCs w:val="1"/>
                <w:color w:val="auto"/>
              </w:rPr>
              <w:t>5. Ownership</w:t>
            </w:r>
          </w:p>
        </w:tc>
        <w:tc>
          <w:tcPr>
            <w:tcW w:w="168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8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248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or Indirect (I)</w:t>
            </w: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800" w:type="dxa"/>
            <w:vAlign w:val="bottom"/>
            <w:vMerge w:val="restart"/>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6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Expiration</w:t>
            </w: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8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Security</w:t>
            </w:r>
          </w:p>
        </w:tc>
        <w:tc>
          <w:tcPr>
            <w:tcW w:w="8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Number of</w:t>
            </w: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Restricted Stock Units</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(1)</w:t>
            </w:r>
          </w:p>
        </w:tc>
        <w:tc>
          <w:tcPr>
            <w:tcW w:w="600" w:type="dxa"/>
            <w:vAlign w:val="bottom"/>
          </w:tcPr>
          <w:p>
            <w:pPr>
              <w:jc w:val="center"/>
              <w:spacing w:after="0"/>
              <w:rPr>
                <w:sz w:val="20"/>
                <w:szCs w:val="20"/>
                <w:color w:val="auto"/>
              </w:rPr>
            </w:pPr>
            <w:r>
              <w:rPr>
                <w:rFonts w:ascii="Arial" w:cs="Arial" w:eastAsia="Arial" w:hAnsi="Arial"/>
                <w:sz w:val="8"/>
                <w:szCs w:val="8"/>
                <w:color w:val="008000"/>
              </w:rPr>
              <w:t>(2)</w:t>
            </w:r>
          </w:p>
        </w:tc>
        <w:tc>
          <w:tcPr>
            <w:tcW w:w="2120" w:type="dxa"/>
            <w:vAlign w:val="bottom"/>
          </w:tcPr>
          <w:p>
            <w:pPr>
              <w:jc w:val="center"/>
              <w:spacing w:after="0"/>
              <w:rPr>
                <w:sz w:val="20"/>
                <w:szCs w:val="20"/>
                <w:color w:val="auto"/>
              </w:rPr>
            </w:pPr>
            <w:r>
              <w:rPr>
                <w:rFonts w:ascii="Arial" w:cs="Arial" w:eastAsia="Arial" w:hAnsi="Arial"/>
                <w:sz w:val="13"/>
                <w:szCs w:val="13"/>
                <w:color w:val="0000FF"/>
                <w:w w:val="92"/>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4,979</w:t>
            </w:r>
          </w:p>
        </w:tc>
        <w:tc>
          <w:tcPr>
            <w:tcW w:w="780" w:type="dxa"/>
            <w:vAlign w:val="bottom"/>
          </w:tcPr>
          <w:p>
            <w:pPr>
              <w:jc w:val="center"/>
              <w:spacing w:after="0"/>
              <w:rPr>
                <w:sz w:val="20"/>
                <w:szCs w:val="20"/>
                <w:color w:val="auto"/>
              </w:rPr>
            </w:pPr>
            <w:r>
              <w:rPr>
                <w:rFonts w:ascii="Arial" w:cs="Arial" w:eastAsia="Arial" w:hAnsi="Arial"/>
                <w:sz w:val="8"/>
                <w:szCs w:val="8"/>
                <w:color w:val="008000"/>
              </w:rPr>
              <w:t>(2)</w:t>
            </w:r>
          </w:p>
        </w:tc>
        <w:tc>
          <w:tcPr>
            <w:tcW w:w="800" w:type="dxa"/>
            <w:vAlign w:val="bottom"/>
          </w:tcPr>
          <w:p>
            <w:pPr>
              <w:ind w:left="380"/>
              <w:spacing w:after="0"/>
              <w:rPr>
                <w:sz w:val="20"/>
                <w:szCs w:val="20"/>
                <w:color w:val="auto"/>
              </w:rPr>
            </w:pPr>
            <w:r>
              <w:rPr>
                <w:rFonts w:ascii="Arial" w:cs="Arial" w:eastAsia="Arial" w:hAnsi="Arial"/>
                <w:sz w:val="13"/>
                <w:szCs w:val="13"/>
                <w:color w:val="0000FF"/>
              </w:rPr>
              <w:t>D</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(2)</w:t>
            </w:r>
          </w:p>
        </w:tc>
        <w:tc>
          <w:tcPr>
            <w:tcW w:w="21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Commonn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3,982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3"/>
              </w:rPr>
              <w:t>0.0</w:t>
            </w:r>
            <w:r>
              <w:rPr>
                <w:rFonts w:ascii="Arial" w:cs="Arial" w:eastAsia="Arial" w:hAnsi="Arial"/>
                <w:sz w:val="16"/>
                <w:szCs w:val="16"/>
                <w:color w:val="008000"/>
                <w:w w:val="83"/>
                <w:vertAlign w:val="superscript"/>
              </w:rPr>
              <w:t>(2)</w:t>
            </w:r>
          </w:p>
        </w:tc>
        <w:tc>
          <w:tcPr>
            <w:tcW w:w="800" w:type="dxa"/>
            <w:vAlign w:val="bottom"/>
            <w:tcBorders>
              <w:bottom w:val="single" w:sz="8" w:color="2C2C2C"/>
            </w:tcBorders>
          </w:tcPr>
          <w:p>
            <w:pPr>
              <w:ind w:left="38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(2)</w:t>
            </w:r>
          </w:p>
        </w:tc>
        <w:tc>
          <w:tcPr>
            <w:tcW w:w="212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23,825</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3"/>
              </w:rPr>
              <w:t>0.0</w:t>
            </w:r>
            <w:r>
              <w:rPr>
                <w:rFonts w:ascii="Arial" w:cs="Arial" w:eastAsia="Arial" w:hAnsi="Arial"/>
                <w:sz w:val="16"/>
                <w:szCs w:val="16"/>
                <w:color w:val="008000"/>
                <w:w w:val="83"/>
                <w:vertAlign w:val="superscript"/>
              </w:rPr>
              <w:t>(2)</w:t>
            </w:r>
          </w:p>
        </w:tc>
        <w:tc>
          <w:tcPr>
            <w:tcW w:w="800" w:type="dxa"/>
            <w:vAlign w:val="bottom"/>
            <w:tcBorders>
              <w:bottom w:val="single" w:sz="8" w:color="2C2C2C"/>
            </w:tcBorders>
          </w:tcPr>
          <w:p>
            <w:pPr>
              <w:ind w:left="38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(5)</w:t>
            </w:r>
          </w:p>
        </w:tc>
        <w:tc>
          <w:tcPr>
            <w:tcW w:w="600" w:type="dxa"/>
            <w:vAlign w:val="bottom"/>
          </w:tcPr>
          <w:p>
            <w:pPr>
              <w:jc w:val="center"/>
              <w:spacing w:after="0"/>
              <w:rPr>
                <w:sz w:val="20"/>
                <w:szCs w:val="20"/>
                <w:color w:val="auto"/>
              </w:rPr>
            </w:pPr>
            <w:r>
              <w:rPr>
                <w:rFonts w:ascii="Arial" w:cs="Arial" w:eastAsia="Arial" w:hAnsi="Arial"/>
                <w:sz w:val="10"/>
                <w:szCs w:val="10"/>
                <w:color w:val="0000FF"/>
                <w:w w:val="91"/>
              </w:rPr>
              <w:t>02/18/2030</w:t>
            </w:r>
          </w:p>
        </w:tc>
        <w:tc>
          <w:tcPr>
            <w:tcW w:w="2120" w:type="dxa"/>
            <w:vAlign w:val="bottom"/>
          </w:tcPr>
          <w:p>
            <w:pPr>
              <w:jc w:val="center"/>
              <w:spacing w:after="0"/>
              <w:rPr>
                <w:sz w:val="20"/>
                <w:szCs w:val="20"/>
                <w:color w:val="auto"/>
              </w:rPr>
            </w:pPr>
            <w:r>
              <w:rPr>
                <w:rFonts w:ascii="Arial" w:cs="Arial" w:eastAsia="Arial" w:hAnsi="Arial"/>
                <w:sz w:val="13"/>
                <w:szCs w:val="13"/>
                <w:color w:val="0000FF"/>
                <w:w w:val="92"/>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27,475</w:t>
            </w:r>
          </w:p>
        </w:tc>
        <w:tc>
          <w:tcPr>
            <w:tcW w:w="780" w:type="dxa"/>
            <w:vAlign w:val="bottom"/>
          </w:tcPr>
          <w:p>
            <w:pPr>
              <w:jc w:val="center"/>
              <w:spacing w:after="0"/>
              <w:rPr>
                <w:sz w:val="20"/>
                <w:szCs w:val="20"/>
                <w:color w:val="auto"/>
              </w:rPr>
            </w:pPr>
            <w:r>
              <w:rPr>
                <w:rFonts w:ascii="Arial" w:cs="Arial" w:eastAsia="Arial" w:hAnsi="Arial"/>
                <w:sz w:val="13"/>
                <w:szCs w:val="13"/>
                <w:color w:val="0000FF"/>
                <w:w w:val="92"/>
              </w:rPr>
              <w:t>20.02</w:t>
            </w:r>
          </w:p>
        </w:tc>
        <w:tc>
          <w:tcPr>
            <w:tcW w:w="800" w:type="dxa"/>
            <w:vAlign w:val="bottom"/>
          </w:tcPr>
          <w:p>
            <w:pPr>
              <w:ind w:left="380"/>
              <w:spacing w:after="0"/>
              <w:rPr>
                <w:sz w:val="20"/>
                <w:szCs w:val="20"/>
                <w:color w:val="auto"/>
              </w:rPr>
            </w:pPr>
            <w:r>
              <w:rPr>
                <w:rFonts w:ascii="Arial" w:cs="Arial" w:eastAsia="Arial" w:hAnsi="Arial"/>
                <w:sz w:val="13"/>
                <w:szCs w:val="13"/>
                <w:color w:val="0000FF"/>
              </w:rPr>
              <w:t>D</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(6)</w:t>
            </w:r>
          </w:p>
        </w:tc>
        <w:tc>
          <w:tcPr>
            <w:tcW w:w="600" w:type="dxa"/>
            <w:vAlign w:val="bottom"/>
          </w:tcPr>
          <w:p>
            <w:pPr>
              <w:jc w:val="center"/>
              <w:spacing w:after="0"/>
              <w:rPr>
                <w:sz w:val="20"/>
                <w:szCs w:val="20"/>
                <w:color w:val="auto"/>
              </w:rPr>
            </w:pPr>
            <w:r>
              <w:rPr>
                <w:rFonts w:ascii="Arial" w:cs="Arial" w:eastAsia="Arial" w:hAnsi="Arial"/>
                <w:sz w:val="10"/>
                <w:szCs w:val="10"/>
                <w:color w:val="0000FF"/>
                <w:w w:val="91"/>
              </w:rPr>
              <w:t>02/16/2031</w:t>
            </w:r>
          </w:p>
        </w:tc>
        <w:tc>
          <w:tcPr>
            <w:tcW w:w="2120" w:type="dxa"/>
            <w:vAlign w:val="bottom"/>
          </w:tcPr>
          <w:p>
            <w:pPr>
              <w:jc w:val="center"/>
              <w:spacing w:after="0"/>
              <w:rPr>
                <w:sz w:val="20"/>
                <w:szCs w:val="20"/>
                <w:color w:val="auto"/>
              </w:rPr>
            </w:pPr>
            <w:r>
              <w:rPr>
                <w:rFonts w:ascii="Arial" w:cs="Arial" w:eastAsia="Arial" w:hAnsi="Arial"/>
                <w:sz w:val="13"/>
                <w:szCs w:val="13"/>
                <w:color w:val="0000FF"/>
                <w:w w:val="92"/>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37,343</w:t>
            </w:r>
          </w:p>
        </w:tc>
        <w:tc>
          <w:tcPr>
            <w:tcW w:w="780" w:type="dxa"/>
            <w:vAlign w:val="bottom"/>
          </w:tcPr>
          <w:p>
            <w:pPr>
              <w:jc w:val="center"/>
              <w:spacing w:after="0"/>
              <w:rPr>
                <w:sz w:val="20"/>
                <w:szCs w:val="20"/>
                <w:color w:val="auto"/>
              </w:rPr>
            </w:pPr>
            <w:r>
              <w:rPr>
                <w:rFonts w:ascii="Arial" w:cs="Arial" w:eastAsia="Arial" w:hAnsi="Arial"/>
                <w:sz w:val="13"/>
                <w:szCs w:val="13"/>
                <w:color w:val="0000FF"/>
                <w:w w:val="92"/>
              </w:rPr>
              <w:t>23.79</w:t>
            </w:r>
          </w:p>
        </w:tc>
        <w:tc>
          <w:tcPr>
            <w:tcW w:w="800" w:type="dxa"/>
            <w:vAlign w:val="bottom"/>
          </w:tcPr>
          <w:p>
            <w:pPr>
              <w:ind w:left="380"/>
              <w:spacing w:after="0"/>
              <w:rPr>
                <w:sz w:val="20"/>
                <w:szCs w:val="20"/>
                <w:color w:val="auto"/>
              </w:rPr>
            </w:pPr>
            <w:r>
              <w:rPr>
                <w:rFonts w:ascii="Arial" w:cs="Arial" w:eastAsia="Arial" w:hAnsi="Arial"/>
                <w:sz w:val="13"/>
                <w:szCs w:val="13"/>
                <w:color w:val="0000FF"/>
              </w:rPr>
              <w:t>D</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(7)</w:t>
            </w:r>
          </w:p>
        </w:tc>
        <w:tc>
          <w:tcPr>
            <w:tcW w:w="600" w:type="dxa"/>
            <w:vAlign w:val="bottom"/>
          </w:tcPr>
          <w:p>
            <w:pPr>
              <w:jc w:val="center"/>
              <w:spacing w:after="0"/>
              <w:rPr>
                <w:sz w:val="20"/>
                <w:szCs w:val="20"/>
                <w:color w:val="auto"/>
              </w:rPr>
            </w:pPr>
            <w:r>
              <w:rPr>
                <w:rFonts w:ascii="Arial" w:cs="Arial" w:eastAsia="Arial" w:hAnsi="Arial"/>
                <w:sz w:val="10"/>
                <w:szCs w:val="10"/>
                <w:color w:val="0000FF"/>
                <w:w w:val="91"/>
              </w:rPr>
              <w:t>02/18/2032</w:t>
            </w:r>
          </w:p>
        </w:tc>
        <w:tc>
          <w:tcPr>
            <w:tcW w:w="2120" w:type="dxa"/>
            <w:vAlign w:val="bottom"/>
          </w:tcPr>
          <w:p>
            <w:pPr>
              <w:jc w:val="center"/>
              <w:spacing w:after="0"/>
              <w:rPr>
                <w:sz w:val="20"/>
                <w:szCs w:val="20"/>
                <w:color w:val="auto"/>
              </w:rPr>
            </w:pPr>
            <w:r>
              <w:rPr>
                <w:rFonts w:ascii="Arial" w:cs="Arial" w:eastAsia="Arial" w:hAnsi="Arial"/>
                <w:sz w:val="13"/>
                <w:szCs w:val="13"/>
                <w:color w:val="0000FF"/>
                <w:w w:val="92"/>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29,872</w:t>
            </w:r>
          </w:p>
        </w:tc>
        <w:tc>
          <w:tcPr>
            <w:tcW w:w="780" w:type="dxa"/>
            <w:vAlign w:val="bottom"/>
          </w:tcPr>
          <w:p>
            <w:pPr>
              <w:jc w:val="center"/>
              <w:spacing w:after="0"/>
              <w:rPr>
                <w:sz w:val="20"/>
                <w:szCs w:val="20"/>
                <w:color w:val="auto"/>
              </w:rPr>
            </w:pPr>
            <w:r>
              <w:rPr>
                <w:rFonts w:ascii="Arial" w:cs="Arial" w:eastAsia="Arial" w:hAnsi="Arial"/>
                <w:sz w:val="13"/>
                <w:szCs w:val="13"/>
                <w:color w:val="0000FF"/>
                <w:w w:val="92"/>
              </w:rPr>
              <w:t>25.86</w:t>
            </w:r>
          </w:p>
        </w:tc>
        <w:tc>
          <w:tcPr>
            <w:tcW w:w="800" w:type="dxa"/>
            <w:vAlign w:val="bottom"/>
          </w:tcPr>
          <w:p>
            <w:pPr>
              <w:ind w:left="380"/>
              <w:spacing w:after="0"/>
              <w:rPr>
                <w:sz w:val="20"/>
                <w:szCs w:val="20"/>
                <w:color w:val="auto"/>
              </w:rPr>
            </w:pPr>
            <w:r>
              <w:rPr>
                <w:rFonts w:ascii="Arial" w:cs="Arial" w:eastAsia="Arial" w:hAnsi="Arial"/>
                <w:sz w:val="13"/>
                <w:szCs w:val="13"/>
                <w:color w:val="0000FF"/>
              </w:rPr>
              <w:t>D</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of the restricted stock units (RSUs) represents a contingent right to one share of the Company's common stock. The RSUs vest on February 16, 2024, subject to the Reporting Person's continued employment with the Company.</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N/A</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of the restricted stock units (RSUs) represents a contingent right to one share of the Company's common stock. The RSUs vest on February 18, 2025, subject to the Reporting Person's continued employment with the Company.</w:t>
      </w:r>
    </w:p>
    <w:p>
      <w:pPr>
        <w:spacing w:after="0" w:line="35" w:lineRule="exact"/>
        <w:rPr>
          <w:rFonts w:ascii="Arial" w:cs="Arial" w:eastAsia="Arial" w:hAnsi="Arial"/>
          <w:sz w:val="10"/>
          <w:szCs w:val="10"/>
          <w:color w:val="008000"/>
        </w:rPr>
      </w:pPr>
    </w:p>
    <w:p>
      <w:pPr>
        <w:ind w:left="40" w:right="42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of the RSUs represents a contingent right to one share of the Company's common stock. The RSUs vest ratably in one-third increments on first, second and third anniversary of the February 17, 2023 grant date, in each case subject to the Reporting Person's continued employment with the Company.</w:t>
      </w:r>
    </w:p>
    <w:p>
      <w:pPr>
        <w:spacing w:after="0" w:line="15" w:lineRule="exact"/>
        <w:rPr>
          <w:rFonts w:ascii="Arial" w:cs="Arial" w:eastAsia="Arial" w:hAnsi="Arial"/>
          <w:sz w:val="10"/>
          <w:szCs w:val="10"/>
          <w:color w:val="008000"/>
        </w:rPr>
      </w:pPr>
    </w:p>
    <w:p>
      <w:pPr>
        <w:ind w:left="120" w:hanging="90"/>
        <w:spacing w:after="0"/>
        <w:tabs>
          <w:tab w:leader="none" w:pos="12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grant vested ratably in one-third increments on the first, second and third anniversaries of the February 18, 2020 grant date based on continuous employment with the Company.</w:t>
      </w:r>
    </w:p>
    <w:p>
      <w:pPr>
        <w:spacing w:after="0" w:line="35" w:lineRule="exact"/>
        <w:rPr>
          <w:rFonts w:ascii="Arial" w:cs="Arial" w:eastAsia="Arial" w:hAnsi="Arial"/>
          <w:sz w:val="10"/>
          <w:szCs w:val="10"/>
          <w:color w:val="008000"/>
        </w:rPr>
      </w:pPr>
    </w:p>
    <w:p>
      <w:pPr>
        <w:ind w:left="120" w:hanging="90"/>
        <w:spacing w:after="0"/>
        <w:tabs>
          <w:tab w:leader="none" w:pos="12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option became exercisable as to 12,447 shares on February 16, 2022, as to 12,448 shares on February 16, 2023, and will become exercisable as to 12,448 shares on February 16, 2024, subject to the Reporting Person's continuous employment with the Company.</w:t>
      </w:r>
    </w:p>
    <w:p>
      <w:pPr>
        <w:spacing w:after="0" w:line="46" w:lineRule="exact"/>
        <w:rPr>
          <w:rFonts w:ascii="Arial" w:cs="Arial" w:eastAsia="Arial" w:hAnsi="Arial"/>
          <w:sz w:val="9"/>
          <w:szCs w:val="9"/>
          <w:color w:val="008000"/>
        </w:rPr>
      </w:pPr>
    </w:p>
    <w:p>
      <w:pPr>
        <w:ind w:left="40" w:right="520" w:hanging="10"/>
        <w:spacing w:after="0" w:line="255" w:lineRule="auto"/>
        <w:tabs>
          <w:tab w:leader="none" w:pos="13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option became exercisable as to 9,957 shares on February 18, 2023, and will become exercisable as to 9,957 shares and as to 9,958 shares on February 18, 2024 and February 18, 2025, respectively, in each case subject to the Reporting Person's continuous employment with the Company.</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1"/>
              </w:rPr>
              <w:t>Raj Dave, Attorney-In-Fact for Dennis</w:t>
            </w:r>
          </w:p>
        </w:tc>
        <w:tc>
          <w:tcPr>
            <w:tcW w:w="800" w:type="dxa"/>
            <w:vAlign w:val="bottom"/>
            <w:gridSpan w:val="2"/>
            <w:vMerge w:val="restart"/>
          </w:tcPr>
          <w:p>
            <w:pPr>
              <w:ind w:left="200"/>
              <w:spacing w:after="0"/>
              <w:rPr>
                <w:sz w:val="20"/>
                <w:szCs w:val="20"/>
                <w:color w:val="auto"/>
              </w:rPr>
            </w:pPr>
            <w:r>
              <w:rPr>
                <w:rFonts w:ascii="Arial" w:cs="Arial" w:eastAsia="Arial" w:hAnsi="Arial"/>
                <w:sz w:val="13"/>
                <w:szCs w:val="13"/>
                <w:color w:val="0000FF"/>
                <w:w w:val="89"/>
              </w:rPr>
              <w:t>05/22/2023</w:t>
            </w: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80" w:type="dxa"/>
            <w:vAlign w:val="bottom"/>
            <w:vMerge w:val="restart"/>
          </w:tcPr>
          <w:p>
            <w:pPr>
              <w:spacing w:after="0" w:line="140" w:lineRule="exact"/>
              <w:rPr>
                <w:sz w:val="20"/>
                <w:szCs w:val="20"/>
                <w:color w:val="auto"/>
              </w:rPr>
            </w:pPr>
            <w:r>
              <w:rPr>
                <w:rFonts w:ascii="Arial" w:cs="Arial" w:eastAsia="Arial" w:hAnsi="Arial"/>
                <w:sz w:val="13"/>
                <w:szCs w:val="13"/>
                <w:color w:val="0000FF"/>
                <w:w w:val="85"/>
              </w:rPr>
              <w:t>Senovich</w:t>
            </w:r>
          </w:p>
        </w:tc>
        <w:tc>
          <w:tcPr>
            <w:tcW w:w="1520" w:type="dxa"/>
            <w:vAlign w:val="bottom"/>
            <w:vMerge w:val="restart"/>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5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5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5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5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5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03"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Bradford R. Turner, Raj Dave, Kathi Lewis, and</w:t>
      </w:r>
    </w:p>
    <w:p>
      <w:pPr>
        <w:spacing w:after="0" w:line="15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 's capacity as an officer and/or director of Newell Brands Inc. (the "Com</w:t>
      </w:r>
    </w:p>
    <w:p>
      <w:pPr>
        <w:spacing w:after="0" w:line="152"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2" w:lineRule="exact"/>
        <w:rPr>
          <w:rFonts w:ascii="Courier New" w:cs="Courier New" w:eastAsia="Courier New" w:hAnsi="Courier New"/>
          <w:sz w:val="13"/>
          <w:szCs w:val="13"/>
          <w:color w:val="auto"/>
        </w:rPr>
      </w:pPr>
    </w:p>
    <w:p>
      <w:pPr>
        <w:ind w:left="540" w:hanging="540"/>
        <w:spacing w:after="0" w:line="502" w:lineRule="auto"/>
        <w:tabs>
          <w:tab w:leader="none" w:pos="30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 in the opinion of such attorney-in-fact, may be of b The undersigned hereby grants to each such attorney-in-fact full power and authority to do and perform any and every act and thing what This Power of Attorney shall remain in full force and effect until the undersigned is no longer required to file Forms ID, 3, 4, and 5 The undersigned hereby revokes any Power of Attorney granted by the undersigned prior to the date hereof to agents or employees of the IN WITNESS WHEREOF, the undersigned has caused this Power of Attorney to be executed as of this 10th day of May 2023.</w:t>
      </w:r>
    </w:p>
    <w:p>
      <w:pPr>
        <w:spacing w:after="0" w:line="111"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_______/s/ Dennis Senovich________________________</w:t>
      </w:r>
    </w:p>
    <w:p>
      <w:pPr>
        <w:spacing w:after="0" w:line="15" w:lineRule="exact"/>
        <w:rPr>
          <w:sz w:val="20"/>
          <w:szCs w:val="20"/>
          <w:color w:val="auto"/>
        </w:rPr>
      </w:pPr>
    </w:p>
    <w:p>
      <w:pPr>
        <w:ind w:left="2200"/>
        <w:spacing w:after="0"/>
        <w:tabs>
          <w:tab w:leader="none" w:pos="342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3"/>
          <w:szCs w:val="13"/>
          <w:color w:val="auto"/>
        </w:rPr>
        <w:t>Dennis Senovich</w:t>
      </w:r>
    </w:p>
    <w:sectPr>
      <w:pgSz w:w="11900" w:h="16838" w:orient="portrait"/>
      <w:cols w:equalWidth="0" w:num="1">
        <w:col w:w="11100"/>
      </w:cols>
      <w:pgMar w:left="440" w:top="2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78335" TargetMode="External"/><Relationship Id="rId12" Type="http://schemas.openxmlformats.org/officeDocument/2006/relationships/hyperlink" Target="http://www.sec.gov/cgi-bin/browse-edgar?action=getcompany&amp;CIK=0000814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2023-05-22T15:45:09Z</dcterms:created>
  <dcterms:modified xsi:type="dcterms:W3CDTF">2023-05-22T15:45:09Z</dcterms:modified>
</cp:coreProperties>
</file>