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7,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NEWELL BRANDS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340" w:type="dxa"/>
        <w:tblCellMar>
          <w:top w:w="0" w:type="dxa"/>
          <w:left w:w="0" w:type="dxa"/>
          <w:bottom w:w="0" w:type="dxa"/>
          <w:right w:w="0" w:type="dxa"/>
        </w:tblCellMar>
      </w:tblPr>
      <w:tr>
        <w:trPr>
          <w:trHeight w:val="213"/>
        </w:trPr>
        <w:tc>
          <w:tcPr>
            <w:tcW w:w="4000" w:type="dxa"/>
            <w:vAlign w:val="bottom"/>
          </w:tcPr>
          <w:p>
            <w:pPr>
              <w:jc w:val="center"/>
              <w:ind w:right="11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40" w:type="dxa"/>
            <w:vAlign w:val="bottom"/>
          </w:tcPr>
          <w:p>
            <w:pPr>
              <w:jc w:val="right"/>
              <w:ind w:right="1219"/>
              <w:spacing w:after="0"/>
              <w:rPr>
                <w:sz w:val="20"/>
                <w:szCs w:val="20"/>
                <w:color w:val="auto"/>
              </w:rPr>
            </w:pPr>
            <w:r>
              <w:rPr>
                <w:rFonts w:ascii="Times New Roman" w:cs="Times New Roman" w:eastAsia="Times New Roman" w:hAnsi="Times New Roman"/>
                <w:sz w:val="18"/>
                <w:szCs w:val="18"/>
                <w:b w:val="1"/>
                <w:bCs w:val="1"/>
                <w:color w:val="auto"/>
              </w:rPr>
              <w:t>36-3514169</w:t>
            </w:r>
          </w:p>
        </w:tc>
      </w:tr>
      <w:tr>
        <w:trPr>
          <w:trHeight w:val="147"/>
        </w:trPr>
        <w:tc>
          <w:tcPr>
            <w:tcW w:w="4000" w:type="dxa"/>
            <w:vAlign w:val="bottom"/>
          </w:tcPr>
          <w:p>
            <w:pPr>
              <w:jc w:val="center"/>
              <w:ind w:right="1101"/>
              <w:spacing w:after="0" w:line="147" w:lineRule="exact"/>
              <w:rPr>
                <w:sz w:val="20"/>
                <w:szCs w:val="20"/>
                <w:color w:val="auto"/>
              </w:rPr>
            </w:pPr>
            <w:r>
              <w:rPr>
                <w:rFonts w:ascii="Times New Roman" w:cs="Times New Roman" w:eastAsia="Times New Roman" w:hAnsi="Times New Roman"/>
                <w:sz w:val="14"/>
                <w:szCs w:val="14"/>
                <w:color w:val="auto"/>
              </w:rPr>
              <w:t>(State or other jurisdiction</w:t>
            </w:r>
          </w:p>
        </w:tc>
        <w:tc>
          <w:tcPr>
            <w:tcW w:w="4640" w:type="dxa"/>
            <w:vAlign w:val="bottom"/>
          </w:tcPr>
          <w:p>
            <w:pPr>
              <w:jc w:val="center"/>
              <w:ind w:left="1099"/>
              <w:spacing w:after="0" w:line="147" w:lineRule="exact"/>
              <w:rPr>
                <w:sz w:val="20"/>
                <w:szCs w:val="20"/>
                <w:color w:val="auto"/>
              </w:rPr>
            </w:pPr>
            <w:r>
              <w:rPr>
                <w:rFonts w:ascii="Times New Roman" w:cs="Times New Roman" w:eastAsia="Times New Roman" w:hAnsi="Times New Roman"/>
                <w:sz w:val="14"/>
                <w:szCs w:val="14"/>
                <w:color w:val="auto"/>
              </w:rPr>
              <w:t>(I.R.S. Employer</w:t>
            </w:r>
          </w:p>
        </w:tc>
      </w:tr>
      <w:tr>
        <w:trPr>
          <w:trHeight w:val="185"/>
        </w:trPr>
        <w:tc>
          <w:tcPr>
            <w:tcW w:w="4000" w:type="dxa"/>
            <w:vAlign w:val="bottom"/>
          </w:tcPr>
          <w:p>
            <w:pPr>
              <w:jc w:val="center"/>
              <w:ind w:right="1101"/>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4640" w:type="dxa"/>
            <w:vAlign w:val="bottom"/>
          </w:tcPr>
          <w:p>
            <w:pPr>
              <w:jc w:val="center"/>
              <w:ind w:left="1099"/>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17"/>
        </w:trPr>
        <w:tc>
          <w:tcPr>
            <w:tcW w:w="4000" w:type="dxa"/>
            <w:vAlign w:val="bottom"/>
          </w:tcPr>
          <w:p>
            <w:pPr>
              <w:spacing w:after="0"/>
              <w:rPr>
                <w:sz w:val="24"/>
                <w:szCs w:val="24"/>
                <w:color w:val="auto"/>
              </w:rPr>
            </w:pPr>
          </w:p>
        </w:tc>
        <w:tc>
          <w:tcPr>
            <w:tcW w:w="4640" w:type="dxa"/>
            <w:vAlign w:val="bottom"/>
          </w:tcPr>
          <w:p>
            <w:pPr>
              <w:jc w:val="center"/>
              <w:ind w:left="1099"/>
              <w:spacing w:after="0"/>
              <w:rPr>
                <w:sz w:val="20"/>
                <w:szCs w:val="20"/>
                <w:color w:val="auto"/>
              </w:rPr>
            </w:pPr>
            <w:r>
              <w:rPr>
                <w:rFonts w:ascii="Times New Roman" w:cs="Times New Roman" w:eastAsia="Times New Roman" w:hAnsi="Times New Roman"/>
                <w:sz w:val="18"/>
                <w:szCs w:val="18"/>
                <w:b w:val="1"/>
                <w:bCs w:val="1"/>
                <w:color w:val="auto"/>
                <w:w w:val="97"/>
              </w:rPr>
              <w:t>Bradford R. Turner</w:t>
            </w:r>
          </w:p>
        </w:tc>
      </w:tr>
      <w:tr>
        <w:trPr>
          <w:trHeight w:val="214"/>
        </w:trPr>
        <w:tc>
          <w:tcPr>
            <w:tcW w:w="4000" w:type="dxa"/>
            <w:vAlign w:val="bottom"/>
          </w:tcPr>
          <w:p>
            <w:pPr>
              <w:spacing w:after="0"/>
              <w:rPr>
                <w:sz w:val="18"/>
                <w:szCs w:val="18"/>
                <w:color w:val="auto"/>
              </w:rPr>
            </w:pPr>
          </w:p>
        </w:tc>
        <w:tc>
          <w:tcPr>
            <w:tcW w:w="4640" w:type="dxa"/>
            <w:vAlign w:val="bottom"/>
          </w:tcPr>
          <w:p>
            <w:pPr>
              <w:jc w:val="center"/>
              <w:ind w:left="1099"/>
              <w:spacing w:after="0"/>
              <w:rPr>
                <w:sz w:val="20"/>
                <w:szCs w:val="20"/>
                <w:color w:val="auto"/>
              </w:rPr>
            </w:pPr>
            <w:r>
              <w:rPr>
                <w:rFonts w:ascii="Times New Roman" w:cs="Times New Roman" w:eastAsia="Times New Roman" w:hAnsi="Times New Roman"/>
                <w:sz w:val="18"/>
                <w:szCs w:val="18"/>
                <w:b w:val="1"/>
                <w:bCs w:val="1"/>
                <w:color w:val="auto"/>
                <w:w w:val="99"/>
              </w:rPr>
              <w:t>Chief Legal Officer &amp; Administrative Officer</w:t>
            </w:r>
          </w:p>
        </w:tc>
      </w:tr>
      <w:tr>
        <w:trPr>
          <w:trHeight w:val="214"/>
        </w:trPr>
        <w:tc>
          <w:tcPr>
            <w:tcW w:w="4000" w:type="dxa"/>
            <w:vAlign w:val="bottom"/>
          </w:tcPr>
          <w:p>
            <w:pPr>
              <w:jc w:val="center"/>
              <w:ind w:right="1121"/>
              <w:spacing w:after="0"/>
              <w:rPr>
                <w:sz w:val="20"/>
                <w:szCs w:val="20"/>
                <w:color w:val="auto"/>
              </w:rPr>
            </w:pPr>
            <w:r>
              <w:rPr>
                <w:rFonts w:ascii="Times New Roman" w:cs="Times New Roman" w:eastAsia="Times New Roman" w:hAnsi="Times New Roman"/>
                <w:sz w:val="18"/>
                <w:szCs w:val="18"/>
                <w:b w:val="1"/>
                <w:bCs w:val="1"/>
                <w:color w:val="auto"/>
                <w:w w:val="98"/>
              </w:rPr>
              <w:t>5 Concourse Parkway, NE, 8th Floor</w:t>
            </w:r>
          </w:p>
        </w:tc>
        <w:tc>
          <w:tcPr>
            <w:tcW w:w="4640" w:type="dxa"/>
            <w:vAlign w:val="bottom"/>
          </w:tcPr>
          <w:p>
            <w:pPr>
              <w:jc w:val="center"/>
              <w:ind w:left="1099"/>
              <w:spacing w:after="0"/>
              <w:rPr>
                <w:sz w:val="20"/>
                <w:szCs w:val="20"/>
                <w:color w:val="auto"/>
              </w:rPr>
            </w:pPr>
            <w:r>
              <w:rPr>
                <w:rFonts w:ascii="Times New Roman" w:cs="Times New Roman" w:eastAsia="Times New Roman" w:hAnsi="Times New Roman"/>
                <w:sz w:val="18"/>
                <w:szCs w:val="18"/>
                <w:b w:val="1"/>
                <w:bCs w:val="1"/>
                <w:color w:val="auto"/>
                <w:w w:val="98"/>
              </w:rPr>
              <w:t>5 Concourse Parkway, NE, 8th Floor</w:t>
            </w:r>
          </w:p>
        </w:tc>
      </w:tr>
      <w:tr>
        <w:trPr>
          <w:trHeight w:val="214"/>
        </w:trPr>
        <w:tc>
          <w:tcPr>
            <w:tcW w:w="4000" w:type="dxa"/>
            <w:vAlign w:val="bottom"/>
          </w:tcPr>
          <w:p>
            <w:pPr>
              <w:jc w:val="center"/>
              <w:ind w:right="1121"/>
              <w:spacing w:after="0"/>
              <w:rPr>
                <w:sz w:val="20"/>
                <w:szCs w:val="20"/>
                <w:color w:val="auto"/>
              </w:rPr>
            </w:pPr>
            <w:r>
              <w:rPr>
                <w:rFonts w:ascii="Times New Roman" w:cs="Times New Roman" w:eastAsia="Times New Roman" w:hAnsi="Times New Roman"/>
                <w:sz w:val="18"/>
                <w:szCs w:val="18"/>
                <w:b w:val="1"/>
                <w:bCs w:val="1"/>
                <w:color w:val="auto"/>
                <w:w w:val="98"/>
              </w:rPr>
              <w:t>Atlanta, Georgia 30328</w:t>
            </w:r>
          </w:p>
        </w:tc>
        <w:tc>
          <w:tcPr>
            <w:tcW w:w="4640" w:type="dxa"/>
            <w:vAlign w:val="bottom"/>
          </w:tcPr>
          <w:p>
            <w:pPr>
              <w:jc w:val="center"/>
              <w:ind w:left="1099"/>
              <w:spacing w:after="0"/>
              <w:rPr>
                <w:sz w:val="20"/>
                <w:szCs w:val="20"/>
                <w:color w:val="auto"/>
              </w:rPr>
            </w:pPr>
            <w:r>
              <w:rPr>
                <w:rFonts w:ascii="Times New Roman" w:cs="Times New Roman" w:eastAsia="Times New Roman" w:hAnsi="Times New Roman"/>
                <w:sz w:val="18"/>
                <w:szCs w:val="18"/>
                <w:b w:val="1"/>
                <w:bCs w:val="1"/>
                <w:color w:val="auto"/>
                <w:w w:val="99"/>
              </w:rPr>
              <w:t>Atlanta, Georgia 30328</w:t>
            </w:r>
          </w:p>
        </w:tc>
      </w:tr>
      <w:tr>
        <w:trPr>
          <w:trHeight w:val="227"/>
        </w:trPr>
        <w:tc>
          <w:tcPr>
            <w:tcW w:w="4000" w:type="dxa"/>
            <w:vAlign w:val="bottom"/>
          </w:tcPr>
          <w:p>
            <w:pPr>
              <w:jc w:val="center"/>
              <w:ind w:right="1121"/>
              <w:spacing w:after="0"/>
              <w:rPr>
                <w:sz w:val="20"/>
                <w:szCs w:val="20"/>
                <w:color w:val="auto"/>
              </w:rPr>
            </w:pPr>
            <w:r>
              <w:rPr>
                <w:rFonts w:ascii="Times New Roman" w:cs="Times New Roman" w:eastAsia="Times New Roman" w:hAnsi="Times New Roman"/>
                <w:sz w:val="18"/>
                <w:szCs w:val="18"/>
                <w:b w:val="1"/>
                <w:bCs w:val="1"/>
                <w:color w:val="auto"/>
                <w:w w:val="99"/>
              </w:rPr>
              <w:t>(770) 418-7000</w:t>
            </w:r>
          </w:p>
        </w:tc>
        <w:tc>
          <w:tcPr>
            <w:tcW w:w="4640" w:type="dxa"/>
            <w:vAlign w:val="bottom"/>
          </w:tcPr>
          <w:p>
            <w:pPr>
              <w:jc w:val="right"/>
              <w:ind w:right="1099"/>
              <w:spacing w:after="0"/>
              <w:rPr>
                <w:sz w:val="20"/>
                <w:szCs w:val="20"/>
                <w:color w:val="auto"/>
              </w:rPr>
            </w:pPr>
            <w:r>
              <w:rPr>
                <w:rFonts w:ascii="Times New Roman" w:cs="Times New Roman" w:eastAsia="Times New Roman" w:hAnsi="Times New Roman"/>
                <w:sz w:val="18"/>
                <w:szCs w:val="18"/>
                <w:b w:val="1"/>
                <w:bCs w:val="1"/>
                <w:color w:val="auto"/>
              </w:rPr>
              <w:t>(770) 418-7000</w:t>
            </w:r>
          </w:p>
        </w:tc>
      </w:tr>
      <w:tr>
        <w:trPr>
          <w:trHeight w:val="147"/>
        </w:trPr>
        <w:tc>
          <w:tcPr>
            <w:tcW w:w="4000" w:type="dxa"/>
            <w:vAlign w:val="bottom"/>
          </w:tcPr>
          <w:p>
            <w:pPr>
              <w:jc w:val="center"/>
              <w:ind w:right="1121"/>
              <w:spacing w:after="0" w:line="147" w:lineRule="exact"/>
              <w:rPr>
                <w:sz w:val="20"/>
                <w:szCs w:val="20"/>
                <w:color w:val="auto"/>
              </w:rPr>
            </w:pPr>
            <w:r>
              <w:rPr>
                <w:rFonts w:ascii="Times New Roman" w:cs="Times New Roman" w:eastAsia="Times New Roman" w:hAnsi="Times New Roman"/>
                <w:sz w:val="14"/>
                <w:szCs w:val="14"/>
                <w:color w:val="auto"/>
              </w:rPr>
              <w:t>(Address, including zip code, and</w:t>
            </w:r>
          </w:p>
        </w:tc>
        <w:tc>
          <w:tcPr>
            <w:tcW w:w="4640" w:type="dxa"/>
            <w:vAlign w:val="bottom"/>
          </w:tcPr>
          <w:p>
            <w:pPr>
              <w:jc w:val="center"/>
              <w:ind w:left="1099"/>
              <w:spacing w:after="0" w:line="147" w:lineRule="exact"/>
              <w:rPr>
                <w:sz w:val="20"/>
                <w:szCs w:val="20"/>
                <w:color w:val="auto"/>
              </w:rPr>
            </w:pPr>
            <w:r>
              <w:rPr>
                <w:rFonts w:ascii="Times New Roman" w:cs="Times New Roman" w:eastAsia="Times New Roman" w:hAnsi="Times New Roman"/>
                <w:sz w:val="14"/>
                <w:szCs w:val="14"/>
                <w:color w:val="auto"/>
              </w:rPr>
              <w:t>(Name, address, including zip code, and</w:t>
            </w:r>
          </w:p>
        </w:tc>
      </w:tr>
      <w:tr>
        <w:trPr>
          <w:trHeight w:val="147"/>
        </w:trPr>
        <w:tc>
          <w:tcPr>
            <w:tcW w:w="4000" w:type="dxa"/>
            <w:vAlign w:val="bottom"/>
          </w:tcPr>
          <w:p>
            <w:pPr>
              <w:jc w:val="center"/>
              <w:ind w:right="1121"/>
              <w:spacing w:after="0" w:line="147" w:lineRule="exact"/>
              <w:rPr>
                <w:sz w:val="20"/>
                <w:szCs w:val="20"/>
                <w:color w:val="auto"/>
              </w:rPr>
            </w:pPr>
            <w:r>
              <w:rPr>
                <w:rFonts w:ascii="Times New Roman" w:cs="Times New Roman" w:eastAsia="Times New Roman" w:hAnsi="Times New Roman"/>
                <w:sz w:val="14"/>
                <w:szCs w:val="14"/>
                <w:color w:val="auto"/>
              </w:rPr>
              <w:t>telephone number, including area code,</w:t>
            </w:r>
          </w:p>
        </w:tc>
        <w:tc>
          <w:tcPr>
            <w:tcW w:w="4640" w:type="dxa"/>
            <w:vAlign w:val="bottom"/>
          </w:tcPr>
          <w:p>
            <w:pPr>
              <w:jc w:val="center"/>
              <w:ind w:left="1099"/>
              <w:spacing w:after="0" w:line="147" w:lineRule="exact"/>
              <w:rPr>
                <w:sz w:val="20"/>
                <w:szCs w:val="20"/>
                <w:color w:val="auto"/>
              </w:rPr>
            </w:pPr>
            <w:r>
              <w:rPr>
                <w:rFonts w:ascii="Times New Roman" w:cs="Times New Roman" w:eastAsia="Times New Roman" w:hAnsi="Times New Roman"/>
                <w:sz w:val="14"/>
                <w:szCs w:val="14"/>
                <w:color w:val="auto"/>
              </w:rPr>
              <w:t>telephone number, including area code, of agent</w:t>
            </w:r>
          </w:p>
        </w:tc>
      </w:tr>
      <w:tr>
        <w:trPr>
          <w:trHeight w:val="185"/>
        </w:trPr>
        <w:tc>
          <w:tcPr>
            <w:tcW w:w="4000" w:type="dxa"/>
            <w:vAlign w:val="bottom"/>
          </w:tcPr>
          <w:p>
            <w:pPr>
              <w:jc w:val="center"/>
              <w:ind w:right="1101"/>
              <w:spacing w:after="0"/>
              <w:rPr>
                <w:sz w:val="20"/>
                <w:szCs w:val="20"/>
                <w:color w:val="auto"/>
              </w:rPr>
            </w:pPr>
            <w:r>
              <w:rPr>
                <w:rFonts w:ascii="Times New Roman" w:cs="Times New Roman" w:eastAsia="Times New Roman" w:hAnsi="Times New Roman"/>
                <w:sz w:val="14"/>
                <w:szCs w:val="14"/>
                <w:color w:val="auto"/>
              </w:rPr>
              <w:t>of registrant’s principal executive offices)</w:t>
            </w:r>
          </w:p>
        </w:tc>
        <w:tc>
          <w:tcPr>
            <w:tcW w:w="4640" w:type="dxa"/>
            <w:vAlign w:val="bottom"/>
          </w:tcPr>
          <w:p>
            <w:pPr>
              <w:jc w:val="center"/>
              <w:ind w:left="1099"/>
              <w:spacing w:after="0"/>
              <w:rPr>
                <w:sz w:val="20"/>
                <w:szCs w:val="20"/>
                <w:color w:val="auto"/>
              </w:rPr>
            </w:pPr>
            <w:r>
              <w:rPr>
                <w:rFonts w:ascii="Times New Roman" w:cs="Times New Roman" w:eastAsia="Times New Roman" w:hAnsi="Times New Roman"/>
                <w:sz w:val="14"/>
                <w:szCs w:val="14"/>
                <w:color w:val="auto"/>
              </w:rPr>
              <w:t>for service)</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Newell Brands Inc. 2026 Incentive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Joel T. May</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Ferrell M. Keel</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Jones Day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1221 Peachtree Street, N.E., Suite 400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Atlanta, Georgia 30361</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Phone: (404) 521-3939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0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114"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131" w:lineRule="exact"/>
        <w:rPr>
          <w:sz w:val="20"/>
          <w:szCs w:val="20"/>
          <w:color w:val="auto"/>
        </w:rPr>
      </w:pPr>
    </w:p>
    <w:p>
      <w:pPr>
        <w:ind w:left="206" w:hanging="206"/>
        <w:spacing w:after="0" w:line="262" w:lineRule="auto"/>
        <w:tabs>
          <w:tab w:leader="none" w:pos="20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by Part I to be included in the Section 10(a) prospectus will be sent or given as specified by Rule 428 of the Securities Act of 1933, as amended (the “Securities Act”), and is omitted from this registration statement in accordance with Rule 428 under the Securities Act and the Note to Part I of Form S-8.</w:t>
      </w:r>
    </w:p>
    <w:p>
      <w:pPr>
        <w:spacing w:after="0" w:line="387"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4"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The following documents previously filed by Newell Brands Inc. (the “Company”) with the Securities and Exchange Commission (the “SEC”)</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pursuant to the Securities Exchange Act of 1934, as amended (the “Exchange Act”), are incorporated herein by reference:</w:t>
      </w:r>
    </w:p>
    <w:p>
      <w:pPr>
        <w:spacing w:after="0" w:line="108" w:lineRule="exact"/>
        <w:rPr>
          <w:sz w:val="20"/>
          <w:szCs w:val="20"/>
          <w:color w:val="auto"/>
        </w:rPr>
      </w:pPr>
    </w:p>
    <w:p>
      <w:pPr>
        <w:ind w:left="966" w:hanging="539"/>
        <w:spacing w:after="0"/>
        <w:tabs>
          <w:tab w:leader="none" w:pos="9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8">
        <w:r>
          <w:rPr>
            <w:rFonts w:ascii="Times New Roman" w:cs="Times New Roman" w:eastAsia="Times New Roman" w:hAnsi="Times New Roman"/>
            <w:sz w:val="18"/>
            <w:szCs w:val="18"/>
            <w:u w:val="single" w:color="auto"/>
            <w:color w:val="0000EE"/>
          </w:rPr>
          <w:t>Form 10-K for the year ended December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13, 2026;</w:t>
      </w:r>
    </w:p>
    <w:p>
      <w:pPr>
        <w:spacing w:after="0" w:line="126"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Form 10-Q for the quarter ended March 31, 2026 filed with the SEC on </w:t>
      </w:r>
      <w:hyperlink r:id="rId19">
        <w:r>
          <w:rPr>
            <w:rFonts w:ascii="Times New Roman" w:cs="Times New Roman" w:eastAsia="Times New Roman" w:hAnsi="Times New Roman"/>
            <w:sz w:val="18"/>
            <w:szCs w:val="18"/>
            <w:u w:val="single" w:color="auto"/>
            <w:color w:val="0000EE"/>
          </w:rPr>
          <w:t>May 1, 2026</w:t>
        </w:r>
      </w:hyperlink>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 on Form 8-K filed with the SEC on </w:t>
      </w:r>
      <w:hyperlink r:id="rId20">
        <w:r>
          <w:rPr>
            <w:rFonts w:ascii="Times New Roman" w:cs="Times New Roman" w:eastAsia="Times New Roman" w:hAnsi="Times New Roman"/>
            <w:sz w:val="18"/>
            <w:szCs w:val="18"/>
            <w:u w:val="single" w:color="auto"/>
            <w:color w:val="0000EE"/>
          </w:rPr>
          <w:t>February 13, 2026</w:t>
        </w:r>
      </w:hyperlink>
      <w:r>
        <w:rPr>
          <w:rFonts w:ascii="Times New Roman" w:cs="Times New Roman" w:eastAsia="Times New Roman" w:hAnsi="Times New Roman"/>
          <w:sz w:val="18"/>
          <w:szCs w:val="18"/>
          <w:color w:val="auto"/>
        </w:rPr>
        <w:t>; and</w:t>
      </w:r>
    </w:p>
    <w:p>
      <w:pPr>
        <w:spacing w:after="0" w:line="126" w:lineRule="exact"/>
        <w:rPr>
          <w:rFonts w:ascii="Times New Roman" w:cs="Times New Roman" w:eastAsia="Times New Roman" w:hAnsi="Times New Roman"/>
          <w:sz w:val="18"/>
          <w:szCs w:val="18"/>
          <w:color w:val="auto"/>
        </w:rPr>
      </w:pPr>
    </w:p>
    <w:p>
      <w:pPr>
        <w:ind w:left="966" w:right="100" w:hanging="539"/>
        <w:spacing w:after="0" w:line="262" w:lineRule="auto"/>
        <w:tabs>
          <w:tab w:leader="none" w:pos="9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w:t>
      </w:r>
      <w:hyperlink r:id="rId21">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Annual Report on Form 10-K for the year ended December 31, 2025 filed with the SEC on February 13, 2026, including any amendments or reports filed for the purpose of updating such description.</w:t>
      </w:r>
    </w:p>
    <w:p>
      <w:pPr>
        <w:spacing w:after="0" w:line="177" w:lineRule="exact"/>
        <w:rPr>
          <w:rFonts w:ascii="Times New Roman" w:cs="Times New Roman" w:eastAsia="Times New Roman" w:hAnsi="Times New Roman"/>
          <w:sz w:val="18"/>
          <w:szCs w:val="18"/>
          <w:color w:val="auto"/>
        </w:rPr>
      </w:pPr>
    </w:p>
    <w:p>
      <w:pPr>
        <w:ind w:left="6" w:right="160" w:firstLine="436"/>
        <w:spacing w:after="0" w:line="257" w:lineRule="auto"/>
        <w:rPr>
          <w:sz w:val="20"/>
          <w:szCs w:val="20"/>
          <w:color w:val="auto"/>
        </w:rPr>
      </w:pPr>
      <w:r>
        <w:rPr>
          <w:rFonts w:ascii="Times New Roman" w:cs="Times New Roman" w:eastAsia="Times New Roman" w:hAnsi="Times New Roman"/>
          <w:sz w:val="18"/>
          <w:szCs w:val="18"/>
          <w:color w:val="auto"/>
        </w:rPr>
        <w:t>All documents filed by the Company pursuant to Sections 13(a), 13(c), 14 and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w:t>
      </w:r>
    </w:p>
    <w:p>
      <w:pPr>
        <w:spacing w:after="0" w:line="182" w:lineRule="exact"/>
        <w:rPr>
          <w:rFonts w:ascii="Times New Roman" w:cs="Times New Roman" w:eastAsia="Times New Roman" w:hAnsi="Times New Roman"/>
          <w:sz w:val="18"/>
          <w:szCs w:val="18"/>
          <w:color w:val="auto"/>
        </w:rPr>
      </w:pPr>
    </w:p>
    <w:p>
      <w:pPr>
        <w:ind w:left="6" w:right="60" w:firstLine="436"/>
        <w:spacing w:after="0" w:line="257"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herein, shall be deemed to be modified or superseded for purposes of this registration statement to the extent that a statement contained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866"/>
          </w:cols>
          <w:pgMar w:left="494" w:top="264" w:right="539" w:bottom="1440" w:gutter="0" w:footer="0" w:header="0"/>
        </w:sectPr>
      </w:pPr>
    </w:p>
    <w:bookmarkStart w:id="2" w:name="page3"/>
    <w:bookmarkEnd w:id="2"/>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4. Description of Securities.</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8" w:lineRule="exact"/>
        <w:rPr>
          <w:sz w:val="20"/>
          <w:szCs w:val="20"/>
          <w:color w:val="auto"/>
        </w:rPr>
      </w:pPr>
    </w:p>
    <w:p>
      <w:pPr>
        <w:ind w:left="6" w:right="100" w:firstLine="436"/>
        <w:spacing w:after="0" w:line="252" w:lineRule="auto"/>
        <w:rPr>
          <w:sz w:val="20"/>
          <w:szCs w:val="20"/>
          <w:color w:val="auto"/>
        </w:rPr>
      </w:pPr>
      <w:r>
        <w:rPr>
          <w:rFonts w:ascii="Times New Roman" w:cs="Times New Roman" w:eastAsia="Times New Roman" w:hAnsi="Times New Roman"/>
          <w:sz w:val="18"/>
          <w:szCs w:val="18"/>
          <w:color w:val="auto"/>
        </w:rPr>
        <w:t>Section 102 of the Delaware General Corporation Law (the “DGCL”) permits a corporation to eliminate the personal liability of directors and officers of a corporation to the corporation or its stockholders for monetary damages for a breach of fiduciary duty as a director or officer, except (i) in cases where the director or officer breached his or her duty of loyalty, failed to act in good faith, engaged in intentional misconduct or knowingly violated a law, (ii) in cases where the director willfully or negligently authorized the unlawful payment of a dividend or approved an unlawful stock redemption or repurchase or obtained an improper personal benefit or, (iii) with respect to officers, in any action by or in the right of the Company. The Company’s Restated Certificate of Incorporation, as amended (the “Certificate of Incorporation”), contains a provision that eliminates the personal liability of directors and officers as set forth above, and the Company’s By-laws, as amended (the “By-laws”), contains a provision that eliminates the personal liability of directors as set forth above, but does not extend exculpation to officers.</w:t>
      </w:r>
    </w:p>
    <w:p>
      <w:pPr>
        <w:spacing w:after="0" w:line="185" w:lineRule="exact"/>
        <w:rPr>
          <w:sz w:val="20"/>
          <w:szCs w:val="20"/>
          <w:color w:val="auto"/>
        </w:rPr>
      </w:pPr>
    </w:p>
    <w:p>
      <w:pPr>
        <w:ind w:left="6" w:firstLine="436"/>
        <w:spacing w:after="0" w:line="250" w:lineRule="auto"/>
        <w:rPr>
          <w:sz w:val="20"/>
          <w:szCs w:val="20"/>
          <w:color w:val="auto"/>
        </w:rPr>
      </w:pPr>
      <w:r>
        <w:rPr>
          <w:rFonts w:ascii="Times New Roman" w:cs="Times New Roman" w:eastAsia="Times New Roman" w:hAnsi="Times New Roman"/>
          <w:sz w:val="18"/>
          <w:szCs w:val="18"/>
          <w:color w:val="auto"/>
        </w:rPr>
        <w:t>The Certificate of Incorporation and the By-laws provide in effect that the Company shall indemnify its directors and officers to the full extent permitted by the DGCL. 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pending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will be made with respect to any claim, issue or matter as to which such person has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deems proper.</w:t>
      </w:r>
    </w:p>
    <w:p>
      <w:pPr>
        <w:spacing w:after="0" w:line="29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The exhibits filed herewith are set forth in the Exhibit Index filed as part of this registration statement hereof.</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1" w:lineRule="exact"/>
        <w:rPr>
          <w:sz w:val="20"/>
          <w:szCs w:val="20"/>
          <w:color w:val="auto"/>
        </w:rPr>
      </w:pPr>
    </w:p>
    <w:p>
      <w:pPr>
        <w:ind w:left="426" w:hanging="426"/>
        <w:spacing w:after="0"/>
        <w:tabs>
          <w:tab w:leader="none" w:pos="4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26"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26" w:lineRule="exact"/>
        <w:rPr>
          <w:rFonts w:ascii="Times New Roman" w:cs="Times New Roman" w:eastAsia="Times New Roman" w:hAnsi="Times New Roman"/>
          <w:sz w:val="18"/>
          <w:szCs w:val="18"/>
          <w:color w:val="auto"/>
        </w:rPr>
      </w:pPr>
    </w:p>
    <w:p>
      <w:pPr>
        <w:ind w:left="1406" w:hanging="431"/>
        <w:spacing w:after="0"/>
        <w:tabs>
          <w:tab w:leader="none" w:pos="1406"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26" w:lineRule="exact"/>
        <w:rPr>
          <w:rFonts w:ascii="Times New Roman" w:cs="Times New Roman" w:eastAsia="Times New Roman" w:hAnsi="Times New Roman"/>
          <w:sz w:val="18"/>
          <w:szCs w:val="18"/>
          <w:color w:val="auto"/>
        </w:rPr>
      </w:pPr>
    </w:p>
    <w:p>
      <w:pPr>
        <w:ind w:left="1406" w:right="60" w:hanging="431"/>
        <w:spacing w:after="0" w:line="252" w:lineRule="auto"/>
        <w:tabs>
          <w:tab w:leader="none" w:pos="1406"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 or “Calculation of Registration Fee” table, as applicable, in the effective registration statement; and</w:t>
      </w:r>
    </w:p>
    <w:p>
      <w:pPr>
        <w:spacing w:after="0" w:line="91" w:lineRule="exact"/>
        <w:rPr>
          <w:rFonts w:ascii="Times New Roman" w:cs="Times New Roman" w:eastAsia="Times New Roman" w:hAnsi="Times New Roman"/>
          <w:sz w:val="18"/>
          <w:szCs w:val="18"/>
          <w:color w:val="auto"/>
        </w:rPr>
      </w:pPr>
    </w:p>
    <w:p>
      <w:pPr>
        <w:ind w:left="1406" w:right="100" w:hanging="431"/>
        <w:spacing w:after="0" w:line="255" w:lineRule="auto"/>
        <w:tabs>
          <w:tab w:leader="none" w:pos="1406"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spacing w:after="0" w:line="89" w:lineRule="exact"/>
        <w:rPr>
          <w:rFonts w:ascii="Times New Roman" w:cs="Times New Roman" w:eastAsia="Times New Roman" w:hAnsi="Times New Roman"/>
          <w:sz w:val="18"/>
          <w:szCs w:val="18"/>
          <w:color w:val="auto"/>
        </w:rPr>
      </w:pPr>
    </w:p>
    <w:p>
      <w:pPr>
        <w:ind w:left="966" w:hanging="539"/>
        <w:spacing w:after="0" w:line="262" w:lineRule="auto"/>
        <w:tabs>
          <w:tab w:leader="none" w:pos="96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886"/>
          </w:cols>
          <w:pgMar w:left="494" w:top="264" w:right="519" w:bottom="1440" w:gutter="0" w:footer="0" w:header="0"/>
        </w:sectPr>
      </w:pPr>
    </w:p>
    <w:bookmarkStart w:id="3" w:name="page4"/>
    <w:bookmarkEnd w:id="3"/>
    <w:p>
      <w:pPr>
        <w:ind w:left="966" w:right="320" w:hanging="539"/>
        <w:spacing w:after="0" w:line="277" w:lineRule="auto"/>
        <w:tabs>
          <w:tab w:leader="none" w:pos="96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remove from registration by means of a post-effective amendment any of the securities being registered which remain unsold at the termination of the offering.</w:t>
      </w:r>
    </w:p>
    <w:p>
      <w:pPr>
        <w:spacing w:after="0" w:line="69" w:lineRule="exact"/>
        <w:rPr>
          <w:rFonts w:ascii="Times New Roman" w:cs="Times New Roman" w:eastAsia="Times New Roman" w:hAnsi="Times New Roman"/>
          <w:sz w:val="18"/>
          <w:szCs w:val="18"/>
          <w:color w:val="auto"/>
        </w:rPr>
      </w:pPr>
    </w:p>
    <w:p>
      <w:pPr>
        <w:ind w:left="426" w:hanging="426"/>
        <w:spacing w:after="0" w:line="255" w:lineRule="auto"/>
        <w:tabs>
          <w:tab w:leader="none" w:pos="4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 for purposes of determining any liability under the Securities Act, each filing of such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Times New Roman" w:cs="Times New Roman" w:eastAsia="Times New Roman" w:hAnsi="Times New Roman"/>
          <w:sz w:val="18"/>
          <w:szCs w:val="18"/>
          <w:color w:val="auto"/>
        </w:rPr>
      </w:pPr>
    </w:p>
    <w:p>
      <w:pPr>
        <w:ind w:left="426" w:right="20" w:hanging="426"/>
        <w:spacing w:after="0" w:line="252" w:lineRule="auto"/>
        <w:tabs>
          <w:tab w:leader="none" w:pos="4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such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866"/>
          </w:cols>
          <w:pgMar w:left="494" w:top="268" w:right="539" w:bottom="1440" w:gutter="0" w:footer="0" w:header="0"/>
        </w:sectPr>
      </w:pPr>
    </w:p>
    <w:bookmarkStart w:id="4" w:name="page5"/>
    <w:bookmarkEnd w:id="4"/>
    <w:tbl>
      <w:tblPr>
        <w:tblLayout w:type="fixed"/>
        <w:tblInd w:w="6"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p>
        </w:tc>
        <w:tc>
          <w:tcPr>
            <w:tcW w:w="382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w w:val="97"/>
              </w:rPr>
              <w:t>INDEX TO EXHIBITS</w:t>
            </w:r>
          </w:p>
        </w:tc>
        <w:tc>
          <w:tcPr>
            <w:tcW w:w="0" w:type="dxa"/>
            <w:vAlign w:val="bottom"/>
          </w:tcPr>
          <w:p>
            <w:pPr>
              <w:spacing w:after="0"/>
              <w:rPr>
                <w:sz w:val="1"/>
                <w:szCs w:val="1"/>
                <w:color w:val="auto"/>
              </w:rPr>
            </w:pPr>
          </w:p>
        </w:tc>
      </w:tr>
      <w:tr>
        <w:trPr>
          <w:trHeight w:val="362"/>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20" w:type="dxa"/>
            <w:vAlign w:val="bottom"/>
            <w:vMerge w:val="restart"/>
          </w:tcPr>
          <w:p>
            <w:pPr>
              <w:ind w:left="3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87"/>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left="926" w:right="760" w:hanging="926"/>
        <w:spacing w:after="0" w:line="277" w:lineRule="auto"/>
        <w:tabs>
          <w:tab w:leader="none" w:pos="93" w:val="left"/>
        </w:tabs>
        <w:numPr>
          <w:ilvl w:val="0"/>
          <w:numId w:val="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3.1</w:t>
      </w:r>
      <w:hyperlink r:id="rId25">
        <w:r>
          <w:rPr>
            <w:rFonts w:ascii="Times New Roman" w:cs="Times New Roman" w:eastAsia="Times New Roman" w:hAnsi="Times New Roman"/>
            <w:sz w:val="18"/>
            <w:szCs w:val="18"/>
            <w:u w:val="single" w:color="auto"/>
            <w:color w:val="0000EE"/>
          </w:rPr>
          <w:t>Restated Certificate of Incorporation of Newell Brands Inc., as of April 15, 2016 (incorporated by reference to Exhibit 3.1 to the</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Company’s Current Report on Form 8-K dated April 11, 2016, File No. 001-09608).</w:t>
        </w:r>
      </w:hyperlink>
    </w:p>
    <w:p>
      <w:pPr>
        <w:spacing w:after="0" w:line="56" w:lineRule="exact"/>
        <w:rPr>
          <w:rFonts w:ascii="Times New Roman" w:cs="Times New Roman" w:eastAsia="Times New Roman" w:hAnsi="Times New Roman"/>
          <w:sz w:val="18"/>
          <w:szCs w:val="18"/>
          <w:u w:val="single" w:color="auto"/>
          <w:color w:val="0000EE"/>
        </w:rPr>
      </w:pPr>
    </w:p>
    <w:p>
      <w:pPr>
        <w:ind w:left="926" w:right="40" w:hanging="926"/>
        <w:spacing w:after="0" w:line="277" w:lineRule="auto"/>
        <w:tabs>
          <w:tab w:leader="none" w:pos="93" w:val="left"/>
        </w:tabs>
        <w:numPr>
          <w:ilvl w:val="0"/>
          <w:numId w:val="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3.2</w:t>
      </w:r>
      <w:hyperlink r:id="rId26">
        <w:r>
          <w:rPr>
            <w:rFonts w:ascii="Times New Roman" w:cs="Times New Roman" w:eastAsia="Times New Roman" w:hAnsi="Times New Roman"/>
            <w:sz w:val="18"/>
            <w:szCs w:val="18"/>
            <w:u w:val="single" w:color="auto"/>
            <w:color w:val="0000EE"/>
          </w:rPr>
          <w:t>Certificate of Amendment to the Restated Certificate of Incorporation of Newell Brands Inc., as amended as of May 7, 2019 (incorporated</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by reference to Exhibit 3.1 to the Company’s Current Report on Form 8-K dated May 10, 2019, File No. 001-09608).</w:t>
        </w:r>
      </w:hyperlink>
    </w:p>
    <w:p>
      <w:pPr>
        <w:spacing w:after="0" w:line="56" w:lineRule="exact"/>
        <w:rPr>
          <w:rFonts w:ascii="Times New Roman" w:cs="Times New Roman" w:eastAsia="Times New Roman" w:hAnsi="Times New Roman"/>
          <w:sz w:val="18"/>
          <w:szCs w:val="18"/>
          <w:u w:val="single" w:color="auto"/>
          <w:color w:val="0000EE"/>
        </w:rPr>
      </w:pPr>
    </w:p>
    <w:p>
      <w:pPr>
        <w:ind w:left="926" w:right="20" w:hanging="926"/>
        <w:spacing w:after="0" w:line="277" w:lineRule="auto"/>
        <w:tabs>
          <w:tab w:leader="none" w:pos="93" w:val="left"/>
        </w:tabs>
        <w:numPr>
          <w:ilvl w:val="0"/>
          <w:numId w:val="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3.3</w:t>
      </w:r>
      <w:hyperlink r:id="rId27">
        <w:r>
          <w:rPr>
            <w:rFonts w:ascii="Times New Roman" w:cs="Times New Roman" w:eastAsia="Times New Roman" w:hAnsi="Times New Roman"/>
            <w:sz w:val="18"/>
            <w:szCs w:val="18"/>
            <w:u w:val="single" w:color="auto"/>
            <w:color w:val="0000EE"/>
          </w:rPr>
          <w:t>Certificate of Amendment to the Restated Certificate of Incorporation of Newell Brands Inc., amended as of May 9, 2024 (incorporated by</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reference to Exhibit 3.1 to the Company’s Current Report on Form 8-K dated May 10, 2024, File No. 001-09608).</w:t>
        </w:r>
      </w:hyperlink>
    </w:p>
    <w:p>
      <w:pPr>
        <w:spacing w:after="0" w:line="56" w:lineRule="exact"/>
        <w:rPr>
          <w:rFonts w:ascii="Times New Roman" w:cs="Times New Roman" w:eastAsia="Times New Roman" w:hAnsi="Times New Roman"/>
          <w:sz w:val="18"/>
          <w:szCs w:val="18"/>
          <w:u w:val="single" w:color="auto"/>
          <w:color w:val="0000EE"/>
        </w:rPr>
      </w:pPr>
    </w:p>
    <w:p>
      <w:pPr>
        <w:ind w:left="926" w:hanging="926"/>
        <w:spacing w:after="0" w:line="277" w:lineRule="auto"/>
        <w:tabs>
          <w:tab w:leader="none" w:pos="93" w:val="left"/>
        </w:tabs>
        <w:numPr>
          <w:ilvl w:val="0"/>
          <w:numId w:val="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3.4</w:t>
      </w:r>
      <w:hyperlink r:id="rId28">
        <w:r>
          <w:rPr>
            <w:rFonts w:ascii="Times New Roman" w:cs="Times New Roman" w:eastAsia="Times New Roman" w:hAnsi="Times New Roman"/>
            <w:sz w:val="18"/>
            <w:szCs w:val="18"/>
            <w:u w:val="single" w:color="auto"/>
            <w:color w:val="0000EE"/>
          </w:rPr>
          <w:t>By-Laws of Newell Brands Inc., as amended, effective as of February 21, 2024 (incorporated by reference to Exhibit 3.1 to the Company’s</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Current Report on Form 8-K dated February 22, 2024, File No. 001-09608).</w:t>
        </w:r>
      </w:hyperlink>
    </w:p>
    <w:p>
      <w:pPr>
        <w:spacing w:after="0" w:line="56" w:lineRule="exact"/>
        <w:rPr>
          <w:rFonts w:ascii="Times New Roman" w:cs="Times New Roman" w:eastAsia="Times New Roman" w:hAnsi="Times New Roman"/>
          <w:sz w:val="18"/>
          <w:szCs w:val="18"/>
          <w:u w:val="single" w:color="auto"/>
          <w:color w:val="0000EE"/>
        </w:rPr>
      </w:pPr>
    </w:p>
    <w:p>
      <w:pPr>
        <w:ind w:left="926" w:right="300" w:hanging="926"/>
        <w:spacing w:after="0" w:line="277" w:lineRule="auto"/>
        <w:tabs>
          <w:tab w:leader="none" w:pos="93" w:val="left"/>
        </w:tabs>
        <w:numPr>
          <w:ilvl w:val="0"/>
          <w:numId w:val="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29">
        <w:r>
          <w:rPr>
            <w:rFonts w:ascii="Times New Roman" w:cs="Times New Roman" w:eastAsia="Times New Roman" w:hAnsi="Times New Roman"/>
            <w:sz w:val="18"/>
            <w:szCs w:val="18"/>
            <w:u w:val="single" w:color="auto"/>
            <w:color w:val="0000EE"/>
          </w:rPr>
          <w:t>Newell Brands Inc. 2026 Incentive Plan (incorporated by reference to Appendix A to the Company’s Definitive Proxy Statement for its</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2026 Annual Meeting of Stockholders filed on March 26, 2026).</w:t>
        </w:r>
      </w:hyperlink>
    </w:p>
    <w:p>
      <w:pPr>
        <w:spacing w:after="0" w:line="56" w:lineRule="exact"/>
        <w:rPr>
          <w:rFonts w:ascii="Times New Roman" w:cs="Times New Roman" w:eastAsia="Times New Roman" w:hAnsi="Times New Roman"/>
          <w:sz w:val="18"/>
          <w:szCs w:val="18"/>
          <w:u w:val="single" w:color="auto"/>
          <w:color w:val="0000EE"/>
        </w:rPr>
      </w:pPr>
    </w:p>
    <w:p>
      <w:pPr>
        <w:ind w:left="86" w:hanging="86"/>
        <w:spacing w:after="0"/>
        <w:tabs>
          <w:tab w:leader="none" w:pos="8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5.1</w:t>
      </w:r>
      <w:r>
        <w:rPr>
          <w:rFonts w:ascii="Times New Roman" w:cs="Times New Roman" w:eastAsia="Times New Roman" w:hAnsi="Times New Roman"/>
          <w:sz w:val="17"/>
          <w:szCs w:val="17"/>
          <w:u w:val="single" w:color="auto"/>
          <w:color w:val="0000EE"/>
        </w:rPr>
        <w:t>Opinion of Jones Day.</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w:t>
      </w:r>
      <w:r>
        <w:rPr>
          <w:rFonts w:ascii="Times New Roman" w:cs="Times New Roman" w:eastAsia="Times New Roman" w:hAnsi="Times New Roman"/>
          <w:sz w:val="17"/>
          <w:szCs w:val="17"/>
          <w:u w:val="single" w:color="auto"/>
          <w:color w:val="0000EE"/>
        </w:rPr>
        <w:t>Consent of Jones Day (included in Exhibit 5.1).</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23.2</w:t>
      </w:r>
      <w:r>
        <w:rPr>
          <w:rFonts w:ascii="Times New Roman" w:cs="Times New Roman" w:eastAsia="Times New Roman" w:hAnsi="Times New Roman"/>
          <w:sz w:val="17"/>
          <w:szCs w:val="17"/>
          <w:u w:val="single" w:color="auto"/>
          <w:color w:val="0000EE"/>
        </w:rPr>
        <w:t>Consent of PricewaterhouseCoopers LLP.</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24</w:t>
      </w:r>
      <w:r>
        <w:rPr>
          <w:rFonts w:ascii="Times New Roman" w:cs="Times New Roman" w:eastAsia="Times New Roman" w:hAnsi="Times New Roman"/>
          <w:sz w:val="17"/>
          <w:szCs w:val="17"/>
          <w:u w:val="single" w:color="auto"/>
          <w:color w:val="0000EE"/>
        </w:rPr>
        <w:t>Power of Attorney (contained on signature page to this registration statement).</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107</w:t>
      </w:r>
      <w:r>
        <w:rPr>
          <w:rFonts w:ascii="Times New Roman" w:cs="Times New Roman" w:eastAsia="Times New Roman" w:hAnsi="Times New Roman"/>
          <w:sz w:val="17"/>
          <w:szCs w:val="17"/>
          <w:u w:val="single" w:color="auto"/>
          <w:color w:val="0000EE"/>
        </w:rPr>
        <w:t>Filing Fee Table.</w:t>
      </w:r>
    </w:p>
    <w:p>
      <w:pPr>
        <w:sectPr>
          <w:pgSz w:w="11900" w:h="16838" w:orient="portrait"/>
          <w:cols w:equalWidth="0" w:num="1">
            <w:col w:w="10866"/>
          </w:cols>
          <w:pgMar w:left="494" w:top="264" w:right="539" w:bottom="1440" w:gutter="0" w:footer="0" w:header="0"/>
        </w:sectPr>
      </w:pPr>
    </w:p>
    <w:bookmarkStart w:id="5" w:name="page6"/>
    <w:bookmarkEnd w:id="5"/>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the requirements for filing on Form S-8 and has duly caused this registration statement to be signed on its behalf by the undersigned, thereunto duly authorized, in Atlanta, State of Georgia, on this 7th day of May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NEWELL BRANDS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J. Erceg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15875</wp:posOffset>
            </wp:positionV>
            <wp:extent cx="25704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J. Erceg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520"/>
          </w:cols>
          <w:pgMar w:left="500" w:top="264" w:right="8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 OF ATTORNEY</w:t>
      </w:r>
    </w:p>
    <w:p>
      <w:pPr>
        <w:spacing w:after="0" w:line="224" w:lineRule="exact"/>
        <w:rPr>
          <w:sz w:val="20"/>
          <w:szCs w:val="20"/>
          <w:color w:val="auto"/>
        </w:rPr>
      </w:pPr>
    </w:p>
    <w:p>
      <w:pPr>
        <w:ind w:right="60" w:firstLine="436"/>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appoints Christopher H. Peterson, Mark J. Erceg or Bradford R. Turner, or any one of them, as such person’s true and lawful attorneys to execute in the name of each such person, and to file, any post-effective amendments to this registration statement that any of such attorneys shall deem necessary or advisable to enable the registrant to comply with the Securities Act of 1933, and any rules, regulations and requirements of the Securities and Exchange Commission with respect thereto, in connection with this registration statement, including post-effective amendments which may make such changes in such registration statement as any of the above-named attorneys deems appropriate, and to comply with the undertakings of the registrant made in connection with this registration statement, and each of the undersigned hereby ratifies all that any of said attorneys shall do or cause to be done by virtue thereof.</w:t>
      </w:r>
    </w:p>
    <w:p>
      <w:pPr>
        <w:spacing w:after="0" w:line="189" w:lineRule="exact"/>
        <w:rPr>
          <w:sz w:val="20"/>
          <w:szCs w:val="20"/>
          <w:color w:val="auto"/>
        </w:rPr>
      </w:pPr>
    </w:p>
    <w:p>
      <w:pPr>
        <w:ind w:right="14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Peterson</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President and Chief Executive Officer and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Christopher H. Peterson</w:t>
            </w:r>
          </w:p>
        </w:tc>
        <w:tc>
          <w:tcPr>
            <w:tcW w:w="120" w:type="dxa"/>
            <w:vAlign w:val="bottom"/>
          </w:tcPr>
          <w:p>
            <w:pPr>
              <w:spacing w:after="0"/>
              <w:rPr>
                <w:sz w:val="19"/>
                <w:szCs w:val="19"/>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J. Erceg</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Mark J. Erceg</w:t>
            </w:r>
          </w:p>
        </w:tc>
        <w:tc>
          <w:tcPr>
            <w:tcW w:w="120" w:type="dxa"/>
            <w:vAlign w:val="bottom"/>
          </w:tcPr>
          <w:p>
            <w:pPr>
              <w:spacing w:after="0"/>
              <w:rPr>
                <w:sz w:val="19"/>
                <w:szCs w:val="19"/>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 Schmidt</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Chief Accounting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Robert A. Schmidt</w:t>
            </w:r>
          </w:p>
        </w:tc>
        <w:tc>
          <w:tcPr>
            <w:tcW w:w="120" w:type="dxa"/>
            <w:vAlign w:val="bottom"/>
          </w:tcPr>
          <w:p>
            <w:pPr>
              <w:spacing w:after="0"/>
              <w:rPr>
                <w:sz w:val="19"/>
                <w:szCs w:val="19"/>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Bridget Ryan Berman</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Chairperson of the Board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Bridget Ryan Berman</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D. Campbell</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Patrick D. Campbell</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P. Keane</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James P. Keane</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Gerardo I. Lopez</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Gerardo I. Lopez</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H. Pilnick</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Gary H. Pilnick</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Stephanie P. Stahl</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Stephanie P. Stahl</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Terry</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2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Anthony Terry</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0900"/>
          </w:cols>
          <w:pgMar w:left="500" w:top="264" w:right="4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171450</wp:posOffset>
            </wp:positionV>
            <wp:extent cx="1221740" cy="135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21740"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1221 PEACHTREE STREET, N.E. • SUITE 400 • ATLANTA, GEORGIA 30361</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TELEPHONE: +1.404.521.3939 • JONESDAY.COM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7,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Newell Brands,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Concourse Parkway, N.E.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30328</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S-8 filed by Newell Brands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acted as counsel for Newell Brands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registration of 19,250,000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$1.00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that may be issued pursuant to the Newell Brands Inc. 2026 Incentive Plan (the “</w:t>
      </w:r>
      <w:r>
        <w:rPr>
          <w:rFonts w:ascii="Times New Roman" w:cs="Times New Roman" w:eastAsia="Times New Roman" w:hAnsi="Times New Roman"/>
          <w:sz w:val="18"/>
          <w:szCs w:val="18"/>
          <w:b w:val="1"/>
          <w:bCs w:val="1"/>
          <w:i w:val="1"/>
          <w:iCs w:val="1"/>
          <w:color w:val="auto"/>
        </w:rPr>
        <w:t>2026 Plan</w:t>
      </w:r>
      <w:r>
        <w:rPr>
          <w:rFonts w:ascii="Times New Roman" w:cs="Times New Roman" w:eastAsia="Times New Roman" w:hAnsi="Times New Roman"/>
          <w:sz w:val="18"/>
          <w:szCs w:val="18"/>
          <w:color w:val="auto"/>
        </w:rPr>
        <w:t>”). In connection with the opinion expressed herein, we have examined such documents, records and matters of law as deemed relevant or necessary for purposes of such opinion. Based on the foregoing, and subject to the further limitations, qualifications and assumptions set forth herein, we are of the opinion that the Shares that may be issued or delivered and sold pursuant to the 2026 Plan and authorized forms of stock option, stock award, stock unit, stock appreciation right or other applicable agreements thereunder (the “</w:t>
      </w:r>
      <w:r>
        <w:rPr>
          <w:rFonts w:ascii="Times New Roman" w:cs="Times New Roman" w:eastAsia="Times New Roman" w:hAnsi="Times New Roman"/>
          <w:sz w:val="18"/>
          <w:szCs w:val="18"/>
          <w:b w:val="1"/>
          <w:bCs w:val="1"/>
          <w:i w:val="1"/>
          <w:iCs w:val="1"/>
          <w:color w:val="auto"/>
        </w:rPr>
        <w:t>Award Agreements</w:t>
      </w:r>
      <w:r>
        <w:rPr>
          <w:rFonts w:ascii="Times New Roman" w:cs="Times New Roman" w:eastAsia="Times New Roman" w:hAnsi="Times New Roman"/>
          <w:sz w:val="18"/>
          <w:szCs w:val="18"/>
          <w:color w:val="auto"/>
        </w:rPr>
        <w:t>”) will be, when issued or delivered and sold in accordance with such 2026 Plan and Award Agreements, validly issued, fully paid and nonassessable, provided that the consideration for the Shares is at least equal to the stated par value thereof.</w:t>
      </w:r>
    </w:p>
    <w:p>
      <w:pPr>
        <w:spacing w:after="0" w:line="18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opinion expressed herein is limited to the General Corporation Law of the State of Delaware, as currently in effect, and we express no opinion as to the effect of the laws of any other jurisdiction on the opinion expressed herein. In addition, we have assumed that the resolutions authorizing the Company to issue or deliver and sell the Shares pursuant to the 2026 Plan and Award Agreements will be in full force and effect at all times at which such Shares are issued or delivered or sold by the Company, and the Company will take no action inconsistent with such resolutions. In rendering the opinion above, we have assumed that each award under the 2026 Plan will be approved by the Board of Directors of the Company or an authorized committee thereof.</w:t>
      </w:r>
    </w:p>
    <w:p>
      <w:pPr>
        <w:spacing w:after="0" w:line="187"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7"/>
          <w:szCs w:val="17"/>
          <w:color w:val="auto"/>
        </w:rPr>
        <w:t>We hereby consent to the filing of this opinion as Exhibit 5.1 to the Registration Statement on Form S-8 filed by the Company to effect registration of the Shares under the Securities Act of 1933 (the “</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In giving such consent, we do not thereby admit that we are included in the category of persons whose consent is required under Section 7 of the Act or the rules and regulations of the Securities and Exchange Commission promulgated thereunder.</w:t>
      </w:r>
    </w:p>
    <w:p>
      <w:pPr>
        <w:spacing w:after="0" w:line="18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Jones Day</w:t>
      </w:r>
    </w:p>
    <w:p>
      <w:pPr>
        <w:spacing w:after="0" w:line="200" w:lineRule="exact"/>
        <w:rPr>
          <w:sz w:val="20"/>
          <w:szCs w:val="20"/>
          <w:color w:val="auto"/>
        </w:rPr>
      </w:pPr>
    </w:p>
    <w:p>
      <w:pPr>
        <w:spacing w:after="0" w:line="209" w:lineRule="exact"/>
        <w:rPr>
          <w:sz w:val="20"/>
          <w:szCs w:val="20"/>
          <w:color w:val="auto"/>
        </w:rPr>
      </w:pPr>
    </w:p>
    <w:p>
      <w:pPr>
        <w:jc w:val="center"/>
        <w:ind w:right="20"/>
        <w:spacing w:after="0" w:line="258" w:lineRule="auto"/>
        <w:rPr>
          <w:sz w:val="20"/>
          <w:szCs w:val="20"/>
          <w:color w:val="auto"/>
        </w:rPr>
      </w:pPr>
      <w:r>
        <w:rPr>
          <w:rFonts w:ascii="Times New Roman" w:cs="Times New Roman" w:eastAsia="Times New Roman" w:hAnsi="Times New Roman"/>
          <w:sz w:val="10"/>
          <w:szCs w:val="10"/>
          <w:color w:val="auto"/>
        </w:rPr>
        <w:t>AMSTERDAM • ATLANTA • BEIJING • BOSTON • BRISBANE • BRUSSELS • CHICAGO • CLEVELAND • COLUMBUS • DALLAS DETROIT • DUBAI • DÜSSELDORF • FRANKFURT • HONG KONG • HOUSTON • IRVINE • LONDON • LOS ANGELES • MADRID MELBOURNE • MEXICO CITY • MIAMI • MILAN • MINNEAPOLIS • MUNICH • NEW YORK • PARIS • PERTH • PITTSBURGH SAN DIEGO • SAN FRANCISCO • SÃO PAULO • SHANGHAI • SILICON VALLEY • SINGAPORE • SYDNEY • TAIPEI • TOKYO • WASHINGTON</w:t>
      </w:r>
    </w:p>
    <w:p>
      <w:pPr>
        <w:sectPr>
          <w:pgSz w:w="11900" w:h="16838" w:orient="portrait"/>
          <w:cols w:equalWidth="0" w:num="1">
            <w:col w:w="10900"/>
          </w:cols>
          <w:pgMar w:left="500" w:top="117" w:right="4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of Newell Brands Inc. of our report dated February 13, 2026 relating to the financial statements, financial statement schedule and the effectiveness of internal control over financial reporting, which appears in Newell Brands Inc.’s Annual Report on Form 10-K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2026</w:t>
      </w:r>
    </w:p>
    <w:p>
      <w:pPr>
        <w:sectPr>
          <w:pgSz w:w="11900" w:h="16838" w:orient="portrait"/>
          <w:cols w:equalWidth="0" w:num="1">
            <w:col w:w="10900"/>
          </w:cols>
          <w:pgMar w:left="500" w:top="117" w:right="499" w:bottom="1440" w:gutter="0" w:footer="0" w:header="0"/>
        </w:sectPr>
      </w:pPr>
    </w:p>
    <w:bookmarkStart w:id="9" w:name="page10"/>
    <w:bookmarkEnd w:id="9"/>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ind w:left="3540"/>
        <w:spacing w:after="0"/>
        <w:rPr>
          <w:sz w:val="20"/>
          <w:szCs w:val="20"/>
          <w:color w:val="auto"/>
        </w:rPr>
      </w:pPr>
      <w:r>
        <w:rPr>
          <w:rFonts w:ascii="Arial" w:cs="Arial" w:eastAsia="Arial" w:hAnsi="Arial"/>
          <w:sz w:val="36"/>
          <w:szCs w:val="36"/>
          <w:b w:val="1"/>
          <w:bCs w:val="1"/>
          <w:color w:val="auto"/>
        </w:rPr>
        <w:t>NEWELL BRANDS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$1.00 par</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19,250,000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$ 4.04</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$ 10,740.04</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77,770,000.00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value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$ 10,740.04</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77,770,000.00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$ 10,740.04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80" w:hanging="225"/>
        <w:spacing w:after="0"/>
        <w:tabs>
          <w:tab w:leader="none" w:pos="800" w:val="left"/>
        </w:tabs>
        <w:numPr>
          <w:ilvl w:val="0"/>
          <w:numId w:val="7"/>
        </w:numPr>
        <w:rPr>
          <w:rFonts w:ascii="Arial" w:cs="Arial" w:eastAsia="Arial" w:hAnsi="Arial"/>
          <w:sz w:val="27"/>
          <w:szCs w:val="27"/>
          <w:color w:val="auto"/>
          <w:vertAlign w:val="superscript"/>
        </w:rPr>
      </w:pPr>
      <w:r>
        <w:rPr>
          <w:rFonts w:ascii="Arial" w:cs="Arial" w:eastAsia="Arial" w:hAnsi="Arial"/>
          <w:sz w:val="21"/>
          <w:szCs w:val="21"/>
          <w:color w:val="auto"/>
        </w:rPr>
        <w:t>Amount registered represents common stock, par value $1.00 per share ("Common Stock") of Newell Brands Inc., a Delaware corporation (the "Company"), issuable pursuant to the Newell Inc. 2026 Incentive Plan (the "2026 Plan"). Pursuant to Rule 416 under the Securities Act of 1933 (the "Securities Act"), this registration statement also includes additional shares of Common Stock of the Company for offer or sale under the 2026 Plan that become issuable under the 2026 Plan by reason of any stock dividend, stock split, recapitalization, or other similar transaction effected without receipt of consideration that increases the number of outstanding shares of the Common Stock. Maximum aggregate offering price is estimated solely for the purpose of calculating the amount of the registration fee pursuant to Rule 457(c) and Rule 457(h) under the Securities Act, based on the average of the high ($4.14) and low ($3.94) sale prices of the Common Stock as reported on The Nasdaq Stock Market LLC on April 30, 2026, which date is within five business days prior to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207645</wp:posOffset>
            </wp:positionV>
            <wp:extent cx="6387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D1B58BA"/>
    <w:multiLevelType w:val="hybridMultilevel"/>
    <w:lvl w:ilvl="0">
      <w:lvlJc w:val="left"/>
      <w:lvlText w:val="%1"/>
      <w:numFmt w:val="lowerLetter"/>
      <w:start w:val="1"/>
    </w:lvl>
    <w:lvl w:ilvl="1">
      <w:lvlJc w:val="left"/>
      <w:lvlText w:val="(%2)"/>
      <w:numFmt w:val="decimal"/>
      <w:start w:val="3"/>
    </w:lvl>
  </w:abstractNum>
  <w:abstractNum w:abstractNumId="4">
    <w:nsid w:val="507ED7AB"/>
    <w:multiLevelType w:val="hybridMultilevel"/>
    <w:lvl w:ilvl="0">
      <w:lvlJc w:val="left"/>
      <w:lvlText w:val="(%1)"/>
      <w:numFmt w:val="lowerLetter"/>
      <w:start w:val="2"/>
    </w:lvl>
    <w:lvl w:ilvl="1">
      <w:lvlJc w:val="left"/>
      <w:lvlText w:val="%2"/>
      <w:numFmt w:val="decimal"/>
      <w:start w:val="1"/>
    </w:lvl>
  </w:abstractNum>
  <w:abstractNum w:abstractNumId="5">
    <w:nsid w:val="2EB141F2"/>
    <w:multiLevelType w:val="hybridMultilevel"/>
    <w:lvl w:ilvl="0">
      <w:lvlJc w:val="left"/>
      <w:lvlText w:val=" "/>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jpeg"/><Relationship Id="rId34" Type="http://schemas.openxmlformats.org/officeDocument/2006/relationships/image" Target="media/image18.png"/><Relationship Id="rId35" Type="http://schemas.openxmlformats.org/officeDocument/2006/relationships/image" Target="media/image19.png"/><Relationship Id="rId18" Type="http://schemas.openxmlformats.org/officeDocument/2006/relationships/hyperlink" Target="http://www.sec.gov/ix?doc=/Archives/edgar/data/0000814453/000081445326000008/nwl-20251231.htm" TargetMode="External"/><Relationship Id="rId19" Type="http://schemas.openxmlformats.org/officeDocument/2006/relationships/hyperlink" Target="http://www.sec.gov/ix?doc=/Archives/edgar/data/0000814453/000081445326000017/nwl-20260331.htm" TargetMode="External"/><Relationship Id="rId20" Type="http://schemas.openxmlformats.org/officeDocument/2006/relationships/hyperlink" Target="http://www.sec.gov/ix?doc=/Archives/edgar/data/0000814453/000119312526051284/d110612d8k.htm" TargetMode="External"/><Relationship Id="rId21" Type="http://schemas.openxmlformats.org/officeDocument/2006/relationships/hyperlink" Target="http://www.sec.gov/Archives/edgar/data/814453/000081445326000008/exhibit41-descriptionofthe.htm" TargetMode="External"/><Relationship Id="rId25" Type="http://schemas.openxmlformats.org/officeDocument/2006/relationships/hyperlink" Target="http://www.sec.gov/Archives/edgar/data/814453/000119312516543111/d179148dex31.htm" TargetMode="External"/><Relationship Id="rId26" Type="http://schemas.openxmlformats.org/officeDocument/2006/relationships/hyperlink" Target="http://www.sec.gov/Archives/edgar/data/814453/000119312519144259/d738214dex31.htm" TargetMode="External"/><Relationship Id="rId27" Type="http://schemas.openxmlformats.org/officeDocument/2006/relationships/hyperlink" Target="http://www.sec.gov/Archives/edgar/data/814453/000119312524136131/d807084dex31.htm" TargetMode="External"/><Relationship Id="rId28" Type="http://schemas.openxmlformats.org/officeDocument/2006/relationships/hyperlink" Target="http://www.sec.gov/Archives/edgar/data/814453/000119312524042851/d760670dex31.htm" TargetMode="External"/><Relationship Id="rId29" Type="http://schemas.openxmlformats.org/officeDocument/2006/relationships/hyperlink" Target="http://www.sec.gov/ix?doc=/Archives/edgar/data/814453/000119312526126289/d52719ddef14a.htm#toc52719_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2026-05-07T14:32:19Z</dcterms:created>
  <dcterms:modified xsi:type="dcterms:W3CDTF">2026-05-07T14:32:19Z</dcterms:modified>
</cp:coreProperties>
</file>