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7371.xml.htm"/>
      <w:bookmarkStart w:id="1" w:name="kswkform4_17805173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Huet Melanie Arlene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Home &amp; Com -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6,130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8,360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to cover taxes on the vesting was calculated based on the Company's closing stock price on June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time-based restricted stock unit ("TRSU")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TRSUs vest ratably in one-third increments on the grant date's first, second, and third anniversaries, subject to the Reporting Person's continuous employment with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N/A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J. Decker, Attorney in Fact for Melanie A. Huet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586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3589</Characters>
  <CharactersWithSpaces>4181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