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color w:val="000000"/>
          <w:sz w:val="32"/>
        </w:rPr>
      </w:pPr>
      <w:r>
        <w:rPr>
          <w:rFonts w:ascii="Arial;sans-serif" w:hAnsi="Arial;sans-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 xml:space="preserve">Current Report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Date of report (Date of earliest event reported): May 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color w:val="000000"/>
          <w:sz w:val="48"/>
        </w:rPr>
      </w:pPr>
      <w:r>
        <w:rPr>
          <w:rFonts w:ascii="Arial;sans-serif" w:hAnsi="Arial;sans-serif"/>
          <w:b/>
          <w:color w:val="000000"/>
          <w:sz w:val="48"/>
        </w:rPr>
        <w:t>NEWELL BRANDS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385" w:type="dxa"/>
        <w:jc w:val="left"/>
        <w:tblInd w:w="0" w:type="dxa"/>
        <w:tblLayout w:type="fixed"/>
        <w:tblCellMar>
          <w:top w:w="28" w:type="dxa"/>
          <w:left w:w="28" w:type="dxa"/>
          <w:bottom w:w="28" w:type="dxa"/>
          <w:right w:w="28" w:type="dxa"/>
        </w:tblCellMar>
      </w:tblPr>
      <w:tblGrid>
        <w:gridCol w:w="824"/>
        <w:gridCol w:w="725"/>
        <w:gridCol w:w="731"/>
        <w:gridCol w:w="389"/>
        <w:gridCol w:w="389"/>
        <w:gridCol w:w="393"/>
        <w:gridCol w:w="565"/>
        <w:gridCol w:w="565"/>
        <w:gridCol w:w="804"/>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1-9608</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36-3514169</w:t>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(State or Other Jurisdiction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of Incorporation)</w:t>
            </w:r>
          </w:p>
        </w:tc>
        <w:tc>
          <w:tcPr>
            <w:tcW w:w="11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File Number)</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Identification Number)</w:t>
            </w:r>
          </w:p>
        </w:tc>
      </w:tr>
    </w:tbl>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5 Concourse Parkway NE, 8th Floor,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Atlanta, Georgia 30328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(770) 418-7000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14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907" w:type="dxa"/>
        <w:jc w:val="center"/>
        <w:tblInd w:w="0" w:type="dxa"/>
        <w:tblLayout w:type="fixed"/>
        <w:tblCellMar>
          <w:top w:w="28" w:type="dxa"/>
          <w:left w:w="28" w:type="dxa"/>
          <w:bottom w:w="28" w:type="dxa"/>
          <w:right w:w="28" w:type="dxa"/>
        </w:tblCellMar>
      </w:tblPr>
      <w:tblGrid>
        <w:gridCol w:w="1182"/>
        <w:gridCol w:w="1039"/>
        <w:gridCol w:w="1049"/>
        <w:gridCol w:w="109"/>
        <w:gridCol w:w="109"/>
        <w:gridCol w:w="109"/>
        <w:gridCol w:w="579"/>
        <w:gridCol w:w="579"/>
        <w:gridCol w:w="581"/>
        <w:gridCol w:w="109"/>
        <w:gridCol w:w="109"/>
        <w:gridCol w:w="109"/>
        <w:gridCol w:w="1243"/>
        <w:gridCol w:w="1243"/>
        <w:gridCol w:w="1758"/>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EXCHANGE ON WHICH REGISTERED</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NWL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 Stock Market LLC</w:t>
            </w:r>
          </w:p>
        </w:tc>
      </w:tr>
    </w:tbl>
    <w:p>
      <w:pPr>
        <w:pStyle w:val="TextBody"/>
        <w:bidi w:val="0"/>
        <w:spacing w:lineRule="auto" w:line="288" w:before="140" w:after="283"/>
        <w:jc w:val="center"/>
        <w:rPr>
          <w:rFonts w:ascii="Arial;sans-serif" w:hAnsi="Arial;sans-serif"/>
          <w:b/>
          <w:color w:val="000000"/>
          <w:sz w:val="20"/>
        </w:rPr>
      </w:pPr>
      <w:r>
        <w:rPr>
          <w:rFonts w:ascii="Arial;sans-serif" w:hAnsi="Arial;sans-serif"/>
          <w:b/>
          <w:color w:val="000000"/>
          <w:sz w:val="20"/>
        </w:rPr>
        <w:t>Securities registered pursuant to Section 12(g) of the Act: 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7691" w:type="dxa"/>
        <w:jc w:val="left"/>
        <w:tblInd w:w="0" w:type="dxa"/>
        <w:tblLayout w:type="fixed"/>
        <w:tblCellMar>
          <w:top w:w="28" w:type="dxa"/>
          <w:left w:w="28" w:type="dxa"/>
          <w:bottom w:w="28" w:type="dxa"/>
          <w:right w:w="28" w:type="dxa"/>
        </w:tblCellMar>
      </w:tblPr>
      <w:tblGrid>
        <w:gridCol w:w="124"/>
        <w:gridCol w:w="109"/>
        <w:gridCol w:w="109"/>
        <w:gridCol w:w="2151"/>
        <w:gridCol w:w="2151"/>
        <w:gridCol w:w="3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bl>
    <w:tbl>
      <w:tblPr>
        <w:tblW w:w="7752" w:type="dxa"/>
        <w:jc w:val="left"/>
        <w:tblInd w:w="0" w:type="dxa"/>
        <w:tblLayout w:type="fixed"/>
        <w:tblCellMar>
          <w:top w:w="28" w:type="dxa"/>
          <w:left w:w="28" w:type="dxa"/>
          <w:bottom w:w="28" w:type="dxa"/>
          <w:right w:w="28" w:type="dxa"/>
        </w:tblCellMar>
      </w:tblPr>
      <w:tblGrid>
        <w:gridCol w:w="124"/>
        <w:gridCol w:w="109"/>
        <w:gridCol w:w="109"/>
        <w:gridCol w:w="2164"/>
        <w:gridCol w:w="2164"/>
        <w:gridCol w:w="3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bl>
    <w:tbl>
      <w:tblPr>
        <w:tblW w:w="9536" w:type="dxa"/>
        <w:jc w:val="left"/>
        <w:tblInd w:w="0" w:type="dxa"/>
        <w:tblLayout w:type="fixed"/>
        <w:tblCellMar>
          <w:top w:w="28" w:type="dxa"/>
          <w:left w:w="28" w:type="dxa"/>
          <w:bottom w:w="28" w:type="dxa"/>
          <w:right w:w="28" w:type="dxa"/>
        </w:tblCellMar>
      </w:tblPr>
      <w:tblGrid>
        <w:gridCol w:w="124"/>
        <w:gridCol w:w="109"/>
        <w:gridCol w:w="109"/>
        <w:gridCol w:w="2690"/>
        <w:gridCol w:w="2690"/>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Emerging growth company   ☐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828282"/>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20" w:after="200"/>
        <w:jc w:val="both"/>
        <w:rPr>
          <w:rFonts w:ascii="Arial;sans-serif" w:hAnsi="Arial;sans-serif"/>
          <w:b w:val="false"/>
          <w:color w:val="000000"/>
          <w:sz w:val="20"/>
        </w:rPr>
      </w:pPr>
      <w:r>
        <w:rPr>
          <w:rFonts w:ascii="Arial;sans-serif" w:hAnsi="Arial;sans-serif"/>
          <w:b w:val="false"/>
          <w:color w:val="000000"/>
          <w:sz w:val="20"/>
        </w:rPr>
        <w:t>On May 1, 2026, Newell Brands Inc. (the “Company”) issued a press release, including additional financial information, to report the Company’s earnings for the quarter ended March 31, 2026, which is attached to this report as Exhibit 99.1.</w:t>
      </w:r>
    </w:p>
    <w:p>
      <w:pPr>
        <w:pStyle w:val="TextBody"/>
        <w:bidi w:val="0"/>
        <w:spacing w:lineRule="auto" w:line="288" w:before="120" w:after="200"/>
        <w:jc w:val="both"/>
        <w:rPr>
          <w:rFonts w:ascii="Arial;sans-serif" w:hAnsi="Arial;sans-serif"/>
          <w:b w:val="false"/>
          <w:color w:val="000000"/>
          <w:sz w:val="20"/>
        </w:rPr>
      </w:pPr>
      <w:r>
        <w:rPr>
          <w:rFonts w:ascii="Arial;sans-serif" w:hAnsi="Arial;sans-serif"/>
          <w:b w:val="false"/>
          <w:color w:val="000000"/>
          <w:sz w:val="20"/>
        </w:rPr>
        <w:t>The information in this report shall not be deemed “filed” for purposes of Section 18 of the Securities Exchange Act of 1934 or otherwise subject to the liabilities of that section, nor shall it be deemed incorporated by reference in any filing under the Securities Act of 1933,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2697"/>
        <w:gridCol w:w="2690"/>
        <w:gridCol w:w="3815"/>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Description</w:t>
            </w:r>
          </w:p>
        </w:tc>
      </w:tr>
      <w:tr>
        <w:trPr/>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991_q1xmarchx2026.htm">
              <w:r>
                <w:rPr>
                  <w:rStyle w:val="InternetLink"/>
                  <w:rFonts w:ascii="Arial;sans-serif" w:hAnsi="Arial;sans-serif"/>
                  <w:b w:val="false"/>
                  <w:color w:val="0000FF"/>
                  <w:sz w:val="20"/>
                  <w:u w:val="single"/>
                </w:rPr>
                <w:t>Press Release dated May 1, 2026, issued by Newell Brands Inc. and Additional Financial Information.</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this Current Report on Form 8-K, formatted as Inline XBRL.</w:t>
            </w:r>
          </w:p>
        </w:tc>
      </w:tr>
    </w:tbl>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4528" w:type="dxa"/>
        <w:jc w:val="left"/>
        <w:tblInd w:w="0" w:type="dxa"/>
        <w:tblLayout w:type="fixed"/>
        <w:tblCellMar>
          <w:top w:w="28" w:type="dxa"/>
          <w:left w:w="28" w:type="dxa"/>
          <w:bottom w:w="28" w:type="dxa"/>
          <w:right w:w="28" w:type="dxa"/>
        </w:tblCellMar>
      </w:tblPr>
      <w:tblGrid>
        <w:gridCol w:w="662"/>
        <w:gridCol w:w="582"/>
        <w:gridCol w:w="585"/>
        <w:gridCol w:w="134"/>
        <w:gridCol w:w="134"/>
        <w:gridCol w:w="136"/>
        <w:gridCol w:w="670"/>
        <w:gridCol w:w="670"/>
        <w:gridCol w:w="955"/>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NEWELL BRANDS INC.</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May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By:</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i/>
                <w:color w:val="000000"/>
                <w:sz w:val="20"/>
              </w:rPr>
            </w:pPr>
            <w:r>
              <w:rPr>
                <w:rFonts w:ascii="Arial;sans-serif" w:hAnsi="Arial;sans-serif"/>
                <w:b w:val="false"/>
                <w:i/>
                <w:color w:val="000000"/>
                <w:sz w:val="20"/>
              </w:rPr>
              <w:t>/s/ Mark J. Erceg</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Erceg</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260" w:after="283"/>
        <w:jc w:val="center"/>
        <w:rPr>
          <w:rFonts w:ascii="Arial;sans-serif" w:hAnsi="Arial;sans-serif"/>
          <w:b/>
          <w:color w:val="000000"/>
          <w:sz w:val="20"/>
        </w:rPr>
      </w:pPr>
      <w:r>
        <w:rPr>
          <w:rFonts w:ascii="Arial;sans-serif" w:hAnsi="Arial;sans-serif"/>
          <w:b/>
          <w:color w:val="000000"/>
          <w:sz w:val="20"/>
        </w:rPr>
        <w:t>NEWELL BRANDS INC.</w:t>
      </w:r>
    </w:p>
    <w:p>
      <w:pPr>
        <w:pStyle w:val="TextBody"/>
        <w:bidi w:val="0"/>
        <w:spacing w:before="26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Press Release, dated May 1, 2026 issued by Newell Brands Inc., and Additional Financial Information</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1913" w:type="dxa"/>
        <w:jc w:val="left"/>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Arial;sans-serif" w:hAnsi="Arial;sans-serif"/>
          <w:b/>
          <w:color w:val="000000"/>
          <w:sz w:val="30"/>
        </w:rPr>
      </w:pPr>
      <w:r>
        <w:rPr>
          <w:rFonts w:ascii="Arial;sans-serif" w:hAnsi="Arial;sans-serif"/>
          <w:b/>
          <w:color w:val="000000"/>
          <w:sz w:val="30"/>
        </w:rPr>
        <w:t>Newell Brands Announces First Quarter 2026 Results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Results Ahead of Expectations Across Key Metrics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Raises Full Year Outlook</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ATLANTA, GA – May 1, 2026 </w:t>
      </w:r>
      <w:r>
        <w:rPr>
          <w:color w:val="000000"/>
        </w:rPr>
        <w:t xml:space="preserve">– </w:t>
      </w:r>
      <w:r>
        <w:rPr>
          <w:rFonts w:ascii="Arial;sans-serif" w:hAnsi="Arial;sans-serif"/>
          <w:b w:val="false"/>
          <w:color w:val="000000"/>
          <w:sz w:val="20"/>
        </w:rPr>
        <w:t>Newell Brands (NASDAQ: NWL) today announced its first quarter 2026 financial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Chris Peterson, Newell Brands President and Chief Executive Officer, said, "First quarter results came in ahead of plan across all key metrics with all three segments delivering core sales above our expectations. Higher than expected consumer demand for our products, as evidenced by improving point of sale and share trends, was driven by continued investment in innovation, advertising and promotional support. We also experienced better than expected underlying category dynamics despite the continued existence of a challenging macroeconomic backdrop. We continue to believe that our strategy is working and, importantly, we now expect to return to top-line growth in the second quarter."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Mark Erceg, Newell Brands Chief Financial Officer, said, "First quarter operating margin expanded year-over-year as productivity and pricing actions more than offset cost inflation and lower volume while improved operating performance, disciplined cost management and a lower effective tax rate drove normalized earnings per share in excess of our going-in expectations. Based on our first quarter over-delivery and projected sales growth over the balance of the year, we are comfortable raising our full year estimates for net sales, core sales and earnings per share."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u w:val="single"/>
        </w:rPr>
      </w:pPr>
      <w:r>
        <w:rPr>
          <w:rFonts w:ascii="Arial;sans-serif" w:hAnsi="Arial;sans-serif"/>
          <w:b/>
          <w:color w:val="000000"/>
          <w:sz w:val="20"/>
          <w:u w:val="single"/>
        </w:rPr>
        <w:t>First Quarter 2026 Highlights</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Net sales were $1.5 billion, a decline of 1.1% compared with the prior year period. Core sales declined 3.5% compared with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Gross margin increased to 33.1% compared with 32.1% in the prior year period. Normalized gross margin increased to 33.2% compared with 32.5% in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Operating margin improved to 2.2% compared with 1.3% in the prior year period. Normalized operating margin increased to 4.8% compared with 4.5% in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Net loss was $33 million compared with $37 million in the prior year period. Normalized net loss was $21 million compared with $6 million in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Reported diluted loss per share was $0.08 compared with $0.09 in the prior year period. Normalized diluted loss per share was $0.05 compared with $0.01 in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Normalized EBITDA was $135 million compared with $136 million in the prior year period.</w:t>
      </w:r>
    </w:p>
    <w:p>
      <w:pPr>
        <w:pStyle w:val="TextBody"/>
        <w:bidi w:val="0"/>
        <w:spacing w:lineRule="auto" w:line="288" w:before="120" w:after="283"/>
        <w:ind w:left="0" w:right="0" w:hanging="288"/>
        <w:jc w:val="both"/>
        <w:rPr/>
      </w:pPr>
      <w:r>
        <w:rPr>
          <w:color w:val="000000"/>
        </w:rPr>
        <w:t>–</w:t>
      </w:r>
      <w:r>
        <w:rPr>
          <w:rFonts w:ascii="Arial;sans-serif" w:hAnsi="Arial;sans-serif"/>
          <w:b w:val="false"/>
          <w:color w:val="000000"/>
          <w:sz w:val="20"/>
        </w:rPr>
        <w:t>Raised full year 2026 outlook for net sales, core sales and normalized EPS.</w:t>
      </w:r>
    </w:p>
    <w:p>
      <w:pPr>
        <w:pStyle w:val="TextBody"/>
        <w:bidi w:val="0"/>
        <w:spacing w:before="120" w:after="283"/>
        <w:ind w:left="0" w:right="0" w:firstLine="72"/>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First Quarter 2026 Operating Results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Net sales were $1.5 billion, a decline of 1.1% compared with the prior year period, reflecting a core sales decline of 3.5% and favorable foreign exchange. Core sales exceeded the Company’s expectations, driven by stronger-than-expected category performance and consumer demand, along with a net pricing benefit from customer programs reflecting better claims experience and improved deduction management.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Gross margin was 33.1% compared with 32.1% in the prior year period, with the positive impact from net pricing and gross productivity more than offsetting headwinds from volume decline, inflation and tariff costs. Normalized gross margin was 33.2% compared with 32.5% in the prior year period.</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913" w:type="dxa"/>
        <w:jc w:val="center"/>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Operating income was $34 million compared with $21 million in the prior year period. Operating margin was 2.2% compared with 1.3% in the prior year period. Normalized operating income was $74 million, or 4.8% of sales, compared with $71 million, or 4.5% of sales, in the prior year period.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Net interest expense was $84 million compared with $72 million in the prior year period.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Income tax benefit was $28 million compared with $18 million in the prior year period. There was a nominal normalized income tax benefit in the current period, compared with a $2 million provision in the prior year period.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Net loss was $33 million compared with $37 million in the prior year period. Normalized net loss was $21 million compared with $6 million in the prior year period. Normalized EBITDA was $135 million compared with $136 million in the prior year period.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Reported diluted loss per share was $0.08 compared with $0.09 in the prior year period. Normalized diluted loss per share was $0.05 compared with $0.01 in the prior year period.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An explanation of non-GAAP measures disclosed in this release and a reconciliation of these non-GAAP results to comparable GAAP measures, if available, are included in the tables attached to this release.</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u w:val="single"/>
        </w:rPr>
      </w:pPr>
      <w:r>
        <w:rPr>
          <w:rFonts w:ascii="Arial;sans-serif" w:hAnsi="Arial;sans-serif"/>
          <w:b/>
          <w:color w:val="000000"/>
          <w:sz w:val="20"/>
          <w:u w:val="single"/>
        </w:rPr>
        <w:t>Balance Sheet and Cash Flow</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Year-to-date operating cash outflow was $233 million compared with $213 million in the prior year period primarily reflecting higher inventory levels.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At the end of the first quarter of 2026, Newell Brands had debt outstanding of $5.0 billion and cash and cash equivalents of $201 million, compared with $4.9 billion and $233 million, respectively, at the end of the first quarter of 2025. </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u w:val="single"/>
        </w:rPr>
      </w:pPr>
      <w:r>
        <w:rPr>
          <w:rFonts w:ascii="Arial;sans-serif" w:hAnsi="Arial;sans-serif"/>
          <w:b/>
          <w:color w:val="000000"/>
          <w:sz w:val="20"/>
          <w:u w:val="single"/>
        </w:rPr>
        <w:t>First Quarter 2026 Operating Segment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Home &amp; Commercial Solutions segment generated net sales of $780 million compared with $812 million in the prior year period, reflecting a core sales decline of 6.9%, as well as the impact of favorable foreign exchange. Operating loss was $3 million, or negative 0.4% of sales, compared with $2 million, or negative 0.2% of sales, in the prior year period. Normalized operating income was $18 million, or 2.3% of sales, compared with $20 million, or 2.5% of sales, in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Learning &amp; Development segment generated net sales of $594 million compared with $572 million in the prior year period, reflecting a core sales growth of 2.0%, as well as the impact of favorable foreign exchange. Operating income was $108 million, or 18.2% of sales, compared with $98 million, or 17.1% of sales, in the prior period. Normalized operating income was $112 million, or 18.9% of sales, compared with $103 million, or 18.0% of sales, in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Outdoor &amp; Recreation segment generated net sales of $175 million compared with $182 million in the prior year period, reflecting a core sales decline of 5.7%, as well as the impact of favorable foreign exchange. Operating loss was $7 million, or negative 4.0% of sales, compared with $5 million, or negative 2.7% of sales, in the prior year period. Normalized operating loss was $2 million, or negative 1.1% of sales, compared with a nominal loss in the prior year period.</w:t>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025"/>
                <wp:effectExtent l="0" t="0" r="0" b="0"/>
                <wp:wrapNone/>
                <wp:docPr id="8" name="Frame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tbl>
      <w:tblPr>
        <w:tblW w:w="1913" w:type="dxa"/>
        <w:jc w:val="center"/>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Outlook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initiated its outlook for the second quarter and updated its outlook for the full year 2026. The outlook does not include any refund of the $120 million paid for IEEPA tariffs in 2025.</w:t>
      </w:r>
    </w:p>
    <w:p>
      <w:pPr>
        <w:pStyle w:val="TextBody"/>
        <w:bidi w:val="0"/>
        <w:spacing w:before="0" w:after="0"/>
        <w:jc w:val="both"/>
        <w:rPr/>
      </w:pPr>
      <w:r>
        <w:rPr/>
      </w:r>
    </w:p>
    <w:tbl>
      <w:tblPr>
        <w:tblW w:w="8835" w:type="dxa"/>
        <w:jc w:val="left"/>
        <w:tblInd w:w="0" w:type="dxa"/>
        <w:tblLayout w:type="fixed"/>
        <w:tblCellMar>
          <w:top w:w="28" w:type="dxa"/>
          <w:left w:w="28" w:type="dxa"/>
          <w:bottom w:w="28" w:type="dxa"/>
          <w:right w:w="28" w:type="dxa"/>
        </w:tblCellMar>
      </w:tblPr>
      <w:tblGrid>
        <w:gridCol w:w="954"/>
        <w:gridCol w:w="838"/>
        <w:gridCol w:w="848"/>
        <w:gridCol w:w="1014"/>
        <w:gridCol w:w="1014"/>
        <w:gridCol w:w="1017"/>
        <w:gridCol w:w="920"/>
        <w:gridCol w:w="920"/>
        <w:gridCol w:w="1310"/>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Q2 2026 Outlook</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Flat to 2%</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Sales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Flat to 2%</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Normalized Operating Margin</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9.6% to 10.2%</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Normalized EPS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$0.16 to $0.19</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Updated Full Year 2026 Outlook</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Previous Full Year 2026 Outlook</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Flat to 2%</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 to 1%</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Core Sales </w:t>
            </w:r>
          </w:p>
        </w:tc>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 to 1%</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 to flat</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Normalized Operating Margin</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8.6% to 9.2%</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unchanged</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Normalized EPS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$0.56 to $0.60</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$0.54 to $0.60</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maintained its outlook for full year 2026 operating cash flow range of $350 million to $400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presented forward-looking statements regarding core sales, normalized operating margin and normalized EPS. These non-GAAP financial measures are derived by excluding certain amounts, expenses or income, from the corresponding financial measures determined in accordance with GAAP. The determination of the amounts that are excluded from these non-GAAP financial measures is a matter of management judgement and depends upon, among other factors, the nature of the underlying expense or income amounts recognized in a given period in reliance on the exception provided by item 10(e)(1)(i)(B) of Regulation S-K. The Company is unable to present a quantitative reconciliation of forward-looking normalized operating margin or normalized EPS to the most directly comparable forward-looking GAAP financial measures because such information is not available, and management cannot reliably predict all of the necessary components of such GAAP measures without unreasonable effort or expense. In addition, the Company believes such reconciliations would imply a degree of precision that would be confusing or misleading to investors. The unavailable information could have a significant impact on the Company's future financial results. These non-GAAP financial measures are preliminary estimates and are subject to risks and uncertainties, including, among others, changes in connection with quarter-end and year-end adjustments. Any variation between the Company's actual results and preliminary financial data set forth above may be material.</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Conference Call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Newell Brands’ first quarter 2026 earnings conference call will be held today, May 1, at 7:30 a.m. ET. A link to the webcast is provided under Events &amp; Presentations in the Investors section of the Company’s website at </w:t>
      </w:r>
      <w:r>
        <w:rPr>
          <w:rFonts w:ascii="Arial;sans-serif" w:hAnsi="Arial;sans-serif"/>
          <w:b w:val="false"/>
          <w:i/>
          <w:color w:val="000000"/>
          <w:sz w:val="20"/>
          <w:u w:val="single"/>
        </w:rPr>
        <w:t>www.newellbrands.com</w:t>
      </w:r>
      <w:r>
        <w:rPr>
          <w:rFonts w:ascii="Arial;sans-serif" w:hAnsi="Arial;sans-serif"/>
          <w:b w:val="false"/>
          <w:color w:val="000000"/>
          <w:sz w:val="20"/>
        </w:rPr>
        <w:t>. A webcast replay will be made available in the Quarterly Earnings section of the Company’s website.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release and the accompanying remarks contain non-GAAP financial measures within the meaning of Regulation G promulgated by the U.S. Securities and Exchange Commission (the "SEC") and includes a reconciliation of non-GAAP financial measures to the most directly comparable financial measures calculated in accordance with GAAP.</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7025"/>
                <wp:effectExtent l="0" t="0" r="0" b="0"/>
                <wp:wrapNone/>
                <wp:docPr id="10" name="Frame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tbl>
      <w:tblPr>
        <w:tblW w:w="1913" w:type="dxa"/>
        <w:jc w:val="center"/>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uses certain non-GAAP financial measures that are included in this press release, the additional financial information and accompanying remarks both to explain its results to stockholders and the investment community and in the internal evaluation and management of its businesses. The Company’s management believes that these non-GAAP financial measures and the information they provide are useful to investors since these measures (a) permit investors to view the Company’s performance and liquidity using the same tools that management uses to evaluate the Company’s past performance, reportable segments, prospects for future performance and liquidity, and (b) determine certain elements of management incentive compensation.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management believes that core sales provides a more complete understanding of underlying sales trends by providing sales on a consistent basis as it excludes the impacts of acquisitions, divestitures, retail store openings and closings, certain market and category exits, changes in foreign exchange and customer returns due to a product recall from year-over-year comparisons. The effect of changes in foreign exchange on reported sales is calculated by applying the prior year average monthly exchange rates to the current year local currency sales amounts (excluding acquisitions and divestitures), with the difference between the current year reported sales and constant currency sales presented as the foreign exchange impact increase or decrease in core sales. The Company’s management believes that “normalized” gross margin, "normalized" overheads, “normalized” operating income, “normalized” operating margin, "normalized EBITDA", “normalized” net income, “normalized” diluted earnings per share and “normalized” income tax benefit or expense, which exclude restructuring and restructuring-related expenses; impairment charges; amortization of acquisition-related intangible assets; divestiture costs; costs related to the acquisition, integration and financing of acquired businesses; hyperinflationary adjustments and one-time and other events such as expenses related to certain legal proceedings, costs related to the extinguishment of debt; certain tax benefits and charges; pension settlement charges; costs related to a product recall; certain facility fire related costs; write-off of assets not placed into service and certain other items, are useful because they provide investors with a meaningful perspective on the current underlying performance of the Company’s core ongoing operations and liquidity. “Normalized EBITDA” is an ongoing liquidity measure (that excludes non-cash items) and is calculated as normalized earnings before interest, tax, depreciation, amortization and stock-based compensation expense.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a "with" and "without" approach to calculate normalized income tax expense or benefit. At an interim period, the Company determines the year to date tax effect of the pretax items excluded from normalized results by allocating the difference between the calculated GAAP and calculated normalized tax expense or benefit.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defines "net debt" as short-term debt, current portion of long-term debt and long-term debt less cash and cash equivalents.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While the Company believes these non-GAAP financial measures are useful in evaluating the Company’s performance and liquidity, this information should be considered as supplemental in nature and not as a substitute for or superior to the related financial information prepared in accordance with GAAP. Additionally, these non-GAAP financial measures may differ from similar measures presented by other companies.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About Newell Brands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Newell Brands (NASDAQ: NWL)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press release and additional information about Newell Brands are available on the Company’s website, www.newellbrands.com.</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7025"/>
                <wp:effectExtent l="0" t="0" r="0" b="0"/>
                <wp:wrapNone/>
                <wp:docPr id="12" name="Frame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tbl>
      <w:tblPr>
        <w:tblW w:w="1913" w:type="dxa"/>
        <w:jc w:val="center"/>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264" w:type="dxa"/>
        <w:jc w:val="left"/>
        <w:tblInd w:w="0" w:type="dxa"/>
        <w:tblLayout w:type="fixed"/>
        <w:tblCellMar>
          <w:top w:w="28" w:type="dxa"/>
          <w:left w:w="28" w:type="dxa"/>
          <w:bottom w:w="28" w:type="dxa"/>
          <w:right w:w="28" w:type="dxa"/>
        </w:tblCellMar>
      </w:tblPr>
      <w:tblGrid>
        <w:gridCol w:w="1839"/>
        <w:gridCol w:w="1617"/>
        <w:gridCol w:w="1629"/>
        <w:gridCol w:w="928"/>
        <w:gridCol w:w="928"/>
        <w:gridCol w:w="1323"/>
      </w:tblGrid>
      <w:tr>
        <w:trPr/>
        <w:tc>
          <w:tcPr>
            <w:tcW w:w="183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Investor Contact</w:t>
            </w:r>
            <w:r>
              <w:rPr>
                <w:rFonts w:ascii="Arial;sans-serif" w:hAnsi="Arial;sans-serif"/>
                <w:b/>
                <w:color w:val="000000"/>
                <w:sz w:val="20"/>
              </w:rPr>
              <w:t>:</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Media Contact</w:t>
            </w:r>
            <w:r>
              <w:rPr>
                <w:rFonts w:ascii="Arial;sans-serif" w:hAnsi="Arial;sans-serif"/>
                <w:b/>
                <w:color w:val="000000"/>
                <w:sz w:val="20"/>
              </w:rPr>
              <w:t>:</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Joanne Freiberger</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Danielle Clark</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SVP, Investor Relations &amp; Chief Communications Officer</w:t>
            </w:r>
          </w:p>
        </w:tc>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 External Communications</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 (727) 947-0891</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+1 (404) 783-0419 </w:t>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joanne.freiberger@newellco.com</w:t>
            </w:r>
          </w:p>
        </w:tc>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danielle.clark@newellco.com</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Some of the statements in this press release and its exhibits, particularly those anticipating future financial performance, business prospects, growth, operating strategies, future macroeconomic conditions and similar matters, are forward-looking statements within the meaning of the federal securities laws. These statements generally can be identified by the use of words or phrases, including, but not limited to, "guidance," "outlook," “intend,” “anticipate,” “believe,” “estimate,” “project,” “target,” “plan,” “expect,” “setting up,” "beginning to,” “will,” “should,” “would,” "could," “resume,” “remain confident,” "remain optimistic," "seek to," or similar statements. We caution that forward-looking statements are not guarantees because there are inherent difficulties in predicting future results. Actual results may differ materially from those expressed or implied in the forward-looking statements. Important factors that could cause actual results to differ materially from those suggested by the forward-looking statements include, but are not limited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Company’s ability to optimize costs and cash flow and mitigate the impact of soft global demand and retailers' inventory rebalancing through discretionary and overhead spend management, advertising and promotion expense optimization, demand forecast and supply plan adjustments and actions to improve working capital;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Company’s dependence on the strength of retail and consumer demand and commercial and industrial sectors of the economy in various countries around the world;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Company’s ability to improve productivity, reduce complexity and streamline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the Company’s substantial indebtedness and current leverage profile, ability to refinance upcoming revolver and bond maturities on favorable terms, and potential increases in interest rates or changes in the Company’s credit ratings including the failure to maintain financial covenants which if breached could subject us to cross-default and acceleration provisions in our debt documents;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impact on the Company’s operations and financial condition resulting from current global macroeconomic environment, including the impact of tariffs imposed by the U.S. and retaliatory tariffs imposed by foreign countries, and the Company’s ability to effectively execute its mitigation plans;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competition with other manufacturers and distributors of consumer products;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major retailers’ strong bargaining power and consolidation of the Company’s customers;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supply chain and operational disruptions in the markets in which we operate, including as a result of geopolitical and macroeconomic conditions and any global military conflicts including those between Russia and Ukraine and in the Middle East;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the prices and availability of labor, transportation, raw materials and sourced products, including significant inflation, and the Company’s ability to offset cost increases through pricing and productivity in a timely manner;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Company’s ability to effectively execute its turnaround plan, including the Productivity Plan announced in December 2025 and other restructuring and cost saving initiatives;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Company’s ability to develop innovative new products, to develop, maintain and strengthen end-user brands and to realize the benefits of increased advertising and promotion spend;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risks inherent to the Company’s foreign operations, including currency fluctuations, exchange controls and pricing restrictions;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future events that could adversely affect the value of the Company’s assets and/or stock price and require additional impairment charges;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unexpected costs or expenses associated with dispositions;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cost and outcomes of governmental investigations, inspections, lawsuits, legislative requests or other actions by third parties, the potential outcomes of which could exceed policy limits, to the extent insured; </w:t>
      </w:r>
    </w:p>
    <w:p>
      <w:pPr>
        <w:pStyle w:val="TextBody"/>
        <w:bidi w:val="0"/>
        <w:spacing w:lineRule="auto" w:line="288"/>
        <w:ind w:left="0" w:right="0" w:hanging="360"/>
        <w:jc w:val="both"/>
        <w:rPr/>
      </w:pPr>
      <w:r>
        <w:rPr>
          <w:color w:val="000000"/>
        </w:rPr>
        <w:t>•</w:t>
      </w:r>
      <w:r>
        <w:rPr>
          <w:rFonts w:ascii="Arial;sans-serif" w:hAnsi="Arial;sans-serif"/>
          <w:b w:val="false"/>
          <w:color w:val="000000"/>
          <w:sz w:val="20"/>
        </w:rPr>
        <w:t>the Company’s ability to maintain effective internal control over financial reporting;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7025"/>
                <wp:effectExtent l="0" t="0" r="0" b="0"/>
                <wp:wrapNone/>
                <wp:docPr id="14" name="Frame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tbl>
      <w:tblPr>
        <w:tblW w:w="1913" w:type="dxa"/>
        <w:jc w:val="center"/>
        <w:tblInd w:w="0" w:type="dxa"/>
        <w:tblLayout w:type="fixed"/>
        <w:tblCellMar>
          <w:top w:w="28" w:type="dxa"/>
          <w:left w:w="28" w:type="dxa"/>
          <w:bottom w:w="28" w:type="dxa"/>
          <w:right w:w="28" w:type="dxa"/>
        </w:tblCellMar>
      </w:tblPr>
      <w:tblGrid>
        <w:gridCol w:w="558"/>
        <w:gridCol w:w="491"/>
        <w:gridCol w:w="492"/>
        <w:gridCol w:w="109"/>
        <w:gridCol w:w="109"/>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4191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91440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 associated with the use of artificial intelligence in the Company’s operations and the Company’s ability to properly manage such use;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failure or breach of one of the Company’s key information technology systems, networks, processes or related controls or those of the Company’s service providers;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impact of United States and foreign regulations on the Company’s operations, including environmental remediation costs and legislation and regulatory actions related to product safety, data privacy and climate change;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potential inability to attract, retain and motivate key employees;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tax laws and the resolution of tax contingencies resulting in additional tax liabilities;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product liability, product recalls or related regulatory actions;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Company’s ability to protect its intellectual property rights;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impact of climate change and the increased focus of governmental and non-governmental organizations and customers on sustainability issues, as well as external expectations related to environmental, social and governance considerations;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significant increases in the funding obligations related to the Company’s pension plans;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other factors listed from time to time in our SEC filings, including but not limited to our Annual Reports on Form 10-K, Quarterly Reports on Form 10-Q and other filings.</w:t>
      </w:r>
    </w:p>
    <w:p>
      <w:pPr>
        <w:pStyle w:val="TextBody"/>
        <w:bidi w:val="0"/>
        <w:spacing w:before="0" w:after="0"/>
        <w:ind w:left="0" w:right="0" w:hanging="27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consolidated condensed financial statements are prepared in conformity with accounting principles generally accepted in the United States (“U.S. GAAP”). Management’s application of U.S. GAAP requires the pervasive use of estimates and assumptions in preparing the condensed consolidated financial statements. The company continues to be impacted by inflationary pressures, soft global demand, major retailers' focus on tight control over inventory levels, elevated interest rates and indirect macroeconomic impacts from geopolitical conflicts, which has required greater use of estimates and assumptions in the preparation of our condensed consolidated financial statements. Although we believe we have made our best estimates based upon current information, actual results could differ materially and may require future changes to such estimates and assumptions, including reserves, which may result in future expense or impairment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contained in this press release and the tables is as of the date indicated. The Company assumes no obligation to update any forward-looking statements as a result of new information, future events or developments. In addition, there can be no assurance that the Company has correctly identified and assessed all of the factors affecting the Company or that the publicly available and other information the Company receives with respect to these factors is complete or correct.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7025"/>
                <wp:effectExtent l="0" t="0" r="0" b="0"/>
                <wp:wrapNone/>
                <wp:docPr id="16" name="Frame1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OPERATIONS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 except per share amounts)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0"/>
        <w:gridCol w:w="1436"/>
        <w:gridCol w:w="1450"/>
        <w:gridCol w:w="109"/>
        <w:gridCol w:w="109"/>
        <w:gridCol w:w="231"/>
        <w:gridCol w:w="231"/>
        <w:gridCol w:w="231"/>
        <w:gridCol w:w="231"/>
        <w:gridCol w:w="448"/>
        <w:gridCol w:w="1374"/>
        <w:gridCol w:w="231"/>
        <w:gridCol w:w="109"/>
        <w:gridCol w:w="109"/>
        <w:gridCol w:w="109"/>
        <w:gridCol w:w="211"/>
        <w:gridCol w:w="646"/>
        <w:gridCol w:w="109"/>
        <w:gridCol w:w="109"/>
        <w:gridCol w:w="109"/>
        <w:gridCol w:w="109"/>
        <w:gridCol w:w="250"/>
        <w:gridCol w:w="250"/>
        <w:gridCol w:w="364"/>
      </w:tblGrid>
      <w:tr>
        <w:trPr/>
        <w:tc>
          <w:tcPr>
            <w:tcW w:w="164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2484" w:type="dxa"/>
            <w:gridSpan w:val="12"/>
            <w:tcBorders/>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Change</w:t>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(1.1)%</w:t>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2.0%</w:t>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0.2%</w:t>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61.9%</w:t>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(10.9)%</w:t>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10.8%</w:t>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BALANCE SHEETS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tbl>
      <w:tblPr>
        <w:tblW w:w="8381" w:type="dxa"/>
        <w:jc w:val="center"/>
        <w:tblInd w:w="0" w:type="dxa"/>
        <w:tblLayout w:type="fixed"/>
        <w:tblCellMar>
          <w:top w:w="28" w:type="dxa"/>
          <w:left w:w="28" w:type="dxa"/>
          <w:bottom w:w="28" w:type="dxa"/>
          <w:right w:w="28" w:type="dxa"/>
        </w:tblCellMar>
      </w:tblPr>
      <w:tblGrid>
        <w:gridCol w:w="1689"/>
        <w:gridCol w:w="1485"/>
        <w:gridCol w:w="1506"/>
        <w:gridCol w:w="292"/>
        <w:gridCol w:w="1042"/>
        <w:gridCol w:w="151"/>
        <w:gridCol w:w="109"/>
        <w:gridCol w:w="109"/>
        <w:gridCol w:w="109"/>
        <w:gridCol w:w="357"/>
        <w:gridCol w:w="1272"/>
        <w:gridCol w:w="260"/>
      </w:tblGrid>
      <w:tr>
        <w:trPr/>
        <w:tc>
          <w:tcPr>
            <w:tcW w:w="168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10,859</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10,715</w:t>
            </w: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debt and current portion of long-term debt</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8,517</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8,324</w:t>
            </w: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2,342</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2,391</w:t>
            </w: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10,859</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10,715</w:t>
            </w:r>
            <w:r>
              <w:rPr>
                <w:color w:val="000000"/>
              </w:rPr>
              <w:t>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CASH FLOWS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tbl>
      <w:tblPr>
        <w:tblW w:w="8774" w:type="dxa"/>
        <w:jc w:val="center"/>
        <w:tblInd w:w="0" w:type="dxa"/>
        <w:tblLayout w:type="fixed"/>
        <w:tblCellMar>
          <w:top w:w="28" w:type="dxa"/>
          <w:left w:w="28" w:type="dxa"/>
          <w:bottom w:w="28" w:type="dxa"/>
          <w:right w:w="28" w:type="dxa"/>
        </w:tblCellMar>
      </w:tblPr>
      <w:tblGrid>
        <w:gridCol w:w="2166"/>
        <w:gridCol w:w="1903"/>
        <w:gridCol w:w="1916"/>
        <w:gridCol w:w="298"/>
        <w:gridCol w:w="680"/>
        <w:gridCol w:w="154"/>
        <w:gridCol w:w="154"/>
        <w:gridCol w:w="154"/>
        <w:gridCol w:w="154"/>
        <w:gridCol w:w="298"/>
        <w:gridCol w:w="680"/>
        <w:gridCol w:w="217"/>
      </w:tblGrid>
      <w:tr>
        <w:trPr/>
        <w:tc>
          <w:tcPr>
            <w:tcW w:w="2166"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Adjustments to reconcile net loss to net cash used in operating activities: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 expense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Changes in operating accounts: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 and other,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operating activities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(213)</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settlement of swaps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 net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short-term debt,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financing activities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270</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rate effect on cash, cash equivalents and restricted cash</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cash, cash equivalents and restricted cash</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period</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period</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252</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at beginning of period</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at end of period</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following tables present a reconciliation of certain non-GAAP financial measures to the most directly comparable financial measures in accordance with GAAP for the three months ended March 31, 2026 and a comparison to prior year. The Company has chosen to present the following non-GAAP measures to investors to enable additional analyses of past, present and future operating performance and as a supplemental means of evaluating the Company’s performance and operating results absent the effect of certain items that are deemed to be stand-alone items apart from the Company’s core operations (“Normalized Adjustments”). While these costs or gains are not expected to continue for any individual transaction on an ongoing basis, similar types of costs, expenses and charges or gains have occurred in prior periods.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Normalized Adjustments in 2026 and 2025 include the following: </w:t>
      </w:r>
    </w:p>
    <w:tbl>
      <w:tblPr>
        <w:tblW w:w="10205" w:type="dxa"/>
        <w:jc w:val="left"/>
        <w:tblInd w:w="0" w:type="dxa"/>
        <w:tblLayout w:type="fixed"/>
        <w:tblCellMar>
          <w:top w:w="28" w:type="dxa"/>
          <w:left w:w="28" w:type="dxa"/>
          <w:bottom w:w="28" w:type="dxa"/>
          <w:right w:w="28" w:type="dxa"/>
        </w:tblCellMar>
      </w:tblPr>
      <w:tblGrid>
        <w:gridCol w:w="774"/>
        <w:gridCol w:w="680"/>
        <w:gridCol w:w="681"/>
        <w:gridCol w:w="109"/>
        <w:gridCol w:w="109"/>
        <w:gridCol w:w="109"/>
        <w:gridCol w:w="2265"/>
        <w:gridCol w:w="2265"/>
        <w:gridCol w:w="3213"/>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Restructuring and restructuring-related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incurs restructuring and restructuring-related costs in connection with various discrete initiatives, including our Global Productivity Plan announced in December 2025, previously disclosed initiatives such as our Realignment Plan in 2024 as well as other discrete actions. Restructuring charges primarily relate to severance and other employee termination costs as well as contract termination and other costs. Restructuring-related costs are costs that are directly attributable to a restructuring action or exit activity and would not have been incurred absent the action. Restructuring-related costs primarily relate to duplicative costs pending facility closure, asset valuation adjustments and disposal gains or losses and consulting costs. Restructuring-related costs primarily related to manufacturing and distribution personnel, facilities and assets are generally recorded in cost of products sold, while restructuring-related costs primarily related to office facilities and assets and professional or clerical personnel are generally recorded in selling, general and administrative expenses in the Condensed Consolidated Statements of Operations. Restructuring charges primarily related to the Global Productivity Plan and Realignment Plan for the three months ended March 31, 2026 and 2025, respectively.</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Amortization expense and impairments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 xml:space="preserve">Represents the amortization expense and impairment charges associated with acquired intangible assets. </w:t>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Argentina hyperinflationary currency movements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Represents the favorable or unfavorable movement in Argentine pesos related to our subsidiary operating in Argentina, which is considered a hyperinflationary economy.</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(Gain) loss on divestitures and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Represents the gain or loss on disposal of business or investment, which represents the difference between the fair value (less costs to sell) and carrying value of the business or investment being disposed, as well as transaction costs associated with acquisitions and divestitures.</w:t>
            </w:r>
          </w:p>
        </w:tc>
      </w:tr>
      <w:tr>
        <w:trPr/>
        <w:tc>
          <w:tcPr>
            <w:tcW w:w="2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3" w:type="dxa"/>
            <w:gridSpan w:val="3"/>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Primarily includes loss on extinguishment and modification of debt, recall costs for certain French Door Countertop Ovens, fire-related costs, net of insurance recoveries, gain or loss on pension settlement and expenses related to that legal proceeding in U.S. Tax Court which is disclosed in Footnote 10 (Income Taxes) to our condensed consolidated financial statements contained in our most recent quarterly report on Form 10-Q.</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income 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uses a “with” and “without” approach to calculate normalized income tax expense or benefit. At an interim period, the Company determines the year-to-date tax effect of the pretax items excluded from normalized results by allocating the difference between the calculated GAAP and calculated normalized tax expense or benefit. In addition, normalized income tax adjustments includes the income tax expense ($5 million and $2 million for the three months ended March 31, 2026 and 2025, respectively) that results from the amortization of a prior year normalized tax benefit. </w:t>
            </w:r>
          </w:p>
        </w:tc>
      </w:tr>
      <w:tr>
        <w:trPr/>
        <w:tc>
          <w:tcPr>
            <w:tcW w:w="2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3" w:type="dxa"/>
            <w:gridSpan w:val="3"/>
            <w:tcBorders/>
            <w:vAlign w:val="center"/>
          </w:tcPr>
          <w:p>
            <w:pPr>
              <w:pStyle w:val="TableContents"/>
              <w:bidi w:val="0"/>
              <w:spacing w:before="0" w:after="283"/>
              <w:jc w:val="left"/>
              <w:rPr>
                <w:sz w:val="4"/>
                <w:szCs w:val="4"/>
              </w:rPr>
            </w:pPr>
            <w:r>
              <w:rPr>
                <w:sz w:val="4"/>
                <w:szCs w:val="4"/>
              </w:rPr>
            </w:r>
          </w:p>
        </w:tc>
      </w:tr>
      <w:tr>
        <w:trPr/>
        <w:tc>
          <w:tcPr>
            <w:tcW w:w="2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CERTAIN LINE ITEMS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 except per share amounts)</w:t>
      </w:r>
    </w:p>
    <w:p>
      <w:pPr>
        <w:pStyle w:val="TextBody"/>
        <w:bidi w:val="0"/>
        <w:spacing w:before="0" w:after="0"/>
        <w:jc w:val="center"/>
        <w:rPr/>
      </w:pPr>
      <w:r>
        <w:rPr/>
      </w:r>
    </w:p>
    <w:tbl>
      <w:tblPr>
        <w:tblW w:w="9680" w:type="dxa"/>
        <w:jc w:val="center"/>
        <w:tblInd w:w="0" w:type="dxa"/>
        <w:tblLayout w:type="fixed"/>
        <w:tblCellMar>
          <w:top w:w="28" w:type="dxa"/>
          <w:left w:w="28" w:type="dxa"/>
          <w:bottom w:w="28" w:type="dxa"/>
          <w:right w:w="28" w:type="dxa"/>
        </w:tblCellMar>
      </w:tblPr>
      <w:tblGrid>
        <w:gridCol w:w="2270"/>
        <w:gridCol w:w="1992"/>
        <w:gridCol w:w="2007"/>
        <w:gridCol w:w="109"/>
        <w:gridCol w:w="109"/>
        <w:gridCol w:w="171"/>
        <w:gridCol w:w="171"/>
        <w:gridCol w:w="332"/>
        <w:gridCol w:w="757"/>
        <w:gridCol w:w="427"/>
        <w:gridCol w:w="109"/>
        <w:gridCol w:w="109"/>
        <w:gridCol w:w="109"/>
        <w:gridCol w:w="211"/>
        <w:gridCol w:w="481"/>
        <w:gridCol w:w="316"/>
      </w:tblGrid>
      <w:tr>
        <w:trPr/>
        <w:tc>
          <w:tcPr>
            <w:tcW w:w="2270"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335" w:type="dxa"/>
            <w:gridSpan w:val="6"/>
            <w:tcBorders/>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 as reported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513</w:t>
            </w: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 a %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33.1 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515</w:t>
            </w:r>
            <w:r>
              <w:rPr>
                <w:color w:val="000000"/>
              </w:rPr>
              <w:t>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508</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 a %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33.2 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as reported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w:t>
            </w: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 a %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 termination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termination and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Total normalized adjustments to operating income, as reported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w:t>
            </w: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 a %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4.8 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CERTAIN LINE ITEMS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 except per share amounts)</w:t>
      </w:r>
    </w:p>
    <w:tbl>
      <w:tblPr>
        <w:tblW w:w="8900" w:type="dxa"/>
        <w:jc w:val="center"/>
        <w:tblInd w:w="0" w:type="dxa"/>
        <w:tblLayout w:type="fixed"/>
        <w:tblCellMar>
          <w:top w:w="28" w:type="dxa"/>
          <w:left w:w="28" w:type="dxa"/>
          <w:bottom w:w="28" w:type="dxa"/>
          <w:right w:w="28" w:type="dxa"/>
        </w:tblCellMar>
      </w:tblPr>
      <w:tblGrid>
        <w:gridCol w:w="2004"/>
        <w:gridCol w:w="1758"/>
        <w:gridCol w:w="1772"/>
        <w:gridCol w:w="109"/>
        <w:gridCol w:w="109"/>
        <w:gridCol w:w="178"/>
        <w:gridCol w:w="178"/>
        <w:gridCol w:w="345"/>
        <w:gridCol w:w="714"/>
        <w:gridCol w:w="443"/>
        <w:gridCol w:w="109"/>
        <w:gridCol w:w="109"/>
        <w:gridCol w:w="109"/>
        <w:gridCol w:w="211"/>
        <w:gridCol w:w="436"/>
        <w:gridCol w:w="316"/>
      </w:tblGrid>
      <w:tr>
        <w:trPr/>
        <w:tc>
          <w:tcPr>
            <w:tcW w:w="200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290" w:type="dxa"/>
            <w:gridSpan w:val="6"/>
            <w:tcBorders/>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income taxes, as reported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 termination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termination and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tax benefit, as reported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Effective income tax rates, as reported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(45.9)</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(32.7)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income tax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income tax provision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Effective income tax rates, as 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as reported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 termination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termination and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income tax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normalized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CERTAIN LINE ITEMS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 except per share amounts)</w:t>
      </w:r>
    </w:p>
    <w:p>
      <w:pPr>
        <w:pStyle w:val="TextBody"/>
        <w:bidi w:val="0"/>
        <w:spacing w:before="0" w:after="0"/>
        <w:jc w:val="center"/>
        <w:rPr/>
      </w:pPr>
      <w:r>
        <w:rPr/>
      </w:r>
    </w:p>
    <w:tbl>
      <w:tblPr>
        <w:tblW w:w="8889" w:type="dxa"/>
        <w:jc w:val="center"/>
        <w:tblInd w:w="0" w:type="dxa"/>
        <w:tblLayout w:type="fixed"/>
        <w:tblCellMar>
          <w:top w:w="28" w:type="dxa"/>
          <w:left w:w="28" w:type="dxa"/>
          <w:bottom w:w="28" w:type="dxa"/>
          <w:right w:w="28" w:type="dxa"/>
        </w:tblCellMar>
      </w:tblPr>
      <w:tblGrid>
        <w:gridCol w:w="2005"/>
        <w:gridCol w:w="1760"/>
        <w:gridCol w:w="1769"/>
        <w:gridCol w:w="109"/>
        <w:gridCol w:w="109"/>
        <w:gridCol w:w="180"/>
        <w:gridCol w:w="180"/>
        <w:gridCol w:w="349"/>
        <w:gridCol w:w="970"/>
        <w:gridCol w:w="180"/>
        <w:gridCol w:w="109"/>
        <w:gridCol w:w="109"/>
        <w:gridCol w:w="109"/>
        <w:gridCol w:w="211"/>
        <w:gridCol w:w="586"/>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278" w:type="dxa"/>
            <w:gridSpan w:val="6"/>
            <w:tcBorders/>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421.6</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416.8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421.6</w:t>
            </w: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loss per share, as reported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 termination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termination and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income tax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diluted loss per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*Totals may not add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SEGMENT REPORTING</w:t>
      </w:r>
    </w:p>
    <w:p>
      <w:pPr>
        <w:pStyle w:val="TextBody"/>
        <w:bidi w:val="0"/>
        <w:spacing w:before="0" w:after="0"/>
        <w:jc w:val="center"/>
        <w:rPr/>
      </w:pPr>
      <w:r>
        <w:rPr/>
      </w:r>
    </w:p>
    <w:tbl>
      <w:tblPr>
        <w:tblW w:w="14363" w:type="dxa"/>
        <w:jc w:val="left"/>
        <w:tblInd w:w="0" w:type="dxa"/>
        <w:tblLayout w:type="fixed"/>
        <w:tblCellMar>
          <w:top w:w="28" w:type="dxa"/>
          <w:left w:w="28" w:type="dxa"/>
          <w:bottom w:w="28" w:type="dxa"/>
          <w:right w:w="28" w:type="dxa"/>
        </w:tblCellMar>
      </w:tblPr>
      <w:tblGrid>
        <w:gridCol w:w="507"/>
        <w:gridCol w:w="354"/>
        <w:gridCol w:w="355"/>
        <w:gridCol w:w="211"/>
        <w:gridCol w:w="631"/>
        <w:gridCol w:w="109"/>
        <w:gridCol w:w="211"/>
        <w:gridCol w:w="376"/>
        <w:gridCol w:w="109"/>
        <w:gridCol w:w="328"/>
        <w:gridCol w:w="183"/>
        <w:gridCol w:w="335"/>
        <w:gridCol w:w="214"/>
        <w:gridCol w:w="381"/>
        <w:gridCol w:w="111"/>
        <w:gridCol w:w="214"/>
        <w:gridCol w:w="381"/>
        <w:gridCol w:w="111"/>
        <w:gridCol w:w="354"/>
        <w:gridCol w:w="157"/>
        <w:gridCol w:w="392"/>
        <w:gridCol w:w="109"/>
        <w:gridCol w:w="109"/>
        <w:gridCol w:w="109"/>
        <w:gridCol w:w="211"/>
        <w:gridCol w:w="631"/>
        <w:gridCol w:w="109"/>
        <w:gridCol w:w="211"/>
        <w:gridCol w:w="376"/>
        <w:gridCol w:w="109"/>
        <w:gridCol w:w="328"/>
        <w:gridCol w:w="183"/>
        <w:gridCol w:w="335"/>
        <w:gridCol w:w="214"/>
        <w:gridCol w:w="381"/>
        <w:gridCol w:w="111"/>
        <w:gridCol w:w="214"/>
        <w:gridCol w:w="381"/>
        <w:gridCol w:w="111"/>
        <w:gridCol w:w="354"/>
        <w:gridCol w:w="157"/>
        <w:gridCol w:w="392"/>
        <w:gridCol w:w="109"/>
        <w:gridCol w:w="109"/>
        <w:gridCol w:w="109"/>
        <w:gridCol w:w="211"/>
        <w:gridCol w:w="376"/>
        <w:gridCol w:w="109"/>
        <w:gridCol w:w="210"/>
        <w:gridCol w:w="211"/>
        <w:gridCol w:w="271"/>
        <w:gridCol w:w="109"/>
        <w:gridCol w:w="109"/>
        <w:gridCol w:w="109"/>
        <w:gridCol w:w="211"/>
        <w:gridCol w:w="271"/>
        <w:gridCol w:w="109"/>
        <w:gridCol w:w="167"/>
        <w:gridCol w:w="167"/>
        <w:gridCol w:w="237"/>
      </w:tblGrid>
      <w:tr>
        <w:trPr/>
        <w:tc>
          <w:tcPr>
            <w:tcW w:w="5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21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Change</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 xml:space="preserve">Net </w:t>
              <w:br/>
              <w:t>Sales</w:t>
            </w:r>
          </w:p>
        </w:tc>
        <w:tc>
          <w:tcPr>
            <w:tcW w:w="6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Income (Loss)</w:t>
            </w:r>
          </w:p>
        </w:tc>
        <w:tc>
          <w:tcPr>
            <w:tcW w:w="8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Margin</w:t>
            </w:r>
          </w:p>
        </w:tc>
        <w:tc>
          <w:tcPr>
            <w:tcW w:w="7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 xml:space="preserve">Normalized </w:t>
              <w:br/>
              <w:t>Items *</w:t>
            </w:r>
          </w:p>
        </w:tc>
        <w:tc>
          <w:tcPr>
            <w:tcW w:w="7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 xml:space="preserve">Normalized </w:t>
            </w:r>
          </w:p>
          <w:p>
            <w:pPr>
              <w:pStyle w:val="TableContents"/>
              <w:bidi w:val="0"/>
              <w:spacing w:lineRule="auto" w:line="240" w:before="0" w:after="0"/>
              <w:jc w:val="center"/>
              <w:rPr/>
            </w:pPr>
            <w:r>
              <w:rPr>
                <w:rFonts w:ascii="Arial;sans-serif" w:hAnsi="Arial;sans-serif"/>
                <w:b w:val="false"/>
                <w:color w:val="000000"/>
                <w:sz w:val="12"/>
              </w:rPr>
              <w:t xml:space="preserve">Operating Income (Loss) </w:t>
            </w:r>
            <w:r>
              <w:rPr>
                <w:rFonts w:ascii="Arial;sans-serif" w:hAnsi="Arial;sans-serif"/>
                <w:b w:val="false"/>
                <w:color w:val="000000"/>
                <w:sz w:val="8"/>
              </w:rPr>
              <w:t>[1]</w:t>
            </w:r>
          </w:p>
        </w:tc>
        <w:tc>
          <w:tcPr>
            <w:tcW w:w="9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Normalized 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 xml:space="preserve">Net </w:t>
              <w:br/>
              <w:t>Sales</w:t>
            </w:r>
          </w:p>
        </w:tc>
        <w:tc>
          <w:tcPr>
            <w:tcW w:w="6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Income (Loss)</w:t>
            </w:r>
          </w:p>
        </w:tc>
        <w:tc>
          <w:tcPr>
            <w:tcW w:w="8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Reported Operating Margin</w:t>
            </w:r>
          </w:p>
        </w:tc>
        <w:tc>
          <w:tcPr>
            <w:tcW w:w="7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 xml:space="preserve">Normalized </w:t>
              <w:br/>
              <w:t>Items *</w:t>
            </w:r>
          </w:p>
        </w:tc>
        <w:tc>
          <w:tcPr>
            <w:tcW w:w="7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2"/>
              </w:rPr>
              <w:t xml:space="preserve">Normalized Operating Income (Loss) </w:t>
            </w:r>
            <w:r>
              <w:rPr>
                <w:rFonts w:ascii="Arial;sans-serif" w:hAnsi="Arial;sans-serif"/>
                <w:b w:val="false"/>
                <w:color w:val="000000"/>
                <w:sz w:val="8"/>
              </w:rPr>
              <w:t>[1]</w:t>
            </w:r>
          </w:p>
        </w:tc>
        <w:tc>
          <w:tcPr>
            <w:tcW w:w="9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Normalized 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 xml:space="preserve">Normalized </w:t>
              <w:br/>
              <w:t xml:space="preserve">Operating </w:t>
              <w:br/>
              <w:t>Income (Loss)</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Home and Commercial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(0.4)</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(0.2)</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(10.0)%</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Learning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18.2 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18.9 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17.1 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8.7%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Outdoor and Recreation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(4.0)</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(2.7)</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i/>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(3.8)%</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2.2</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4.8</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1.3</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4.5</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4.2%</w:t>
            </w:r>
          </w:p>
        </w:tc>
      </w:tr>
    </w:tbl>
    <w:p>
      <w:pPr>
        <w:pStyle w:val="TextBody"/>
        <w:bidi w:val="0"/>
        <w:spacing w:before="0" w:after="200"/>
        <w:jc w:val="both"/>
        <w:rPr/>
      </w:pPr>
      <w:r>
        <w:rPr/>
      </w:r>
    </w:p>
    <w:p>
      <w:pPr>
        <w:pStyle w:val="TextBody"/>
        <w:bidi w:val="0"/>
        <w:spacing w:lineRule="auto" w:line="288" w:before="0" w:after="100"/>
        <w:ind w:left="0" w:right="0" w:hanging="360"/>
        <w:jc w:val="both"/>
        <w:rPr>
          <w:rFonts w:ascii="Arial;sans-serif" w:hAnsi="Arial;sans-serif"/>
          <w:b w:val="false"/>
          <w:color w:val="000000"/>
          <w:sz w:val="18"/>
        </w:rPr>
      </w:pPr>
      <w:r>
        <w:rPr>
          <w:rFonts w:ascii="Arial;sans-serif" w:hAnsi="Arial;sans-serif"/>
          <w:b w:val="false"/>
          <w:color w:val="000000"/>
          <w:sz w:val="18"/>
        </w:rPr>
        <w:t>[1]Refer to Total normalized adjustments to operating income, as reported under GAAP in the "Reconciliation of GAAP and Non-GAAP Information (Unaudited) - Certain Line Items" for the three months ended March 31, 2026 and 2025 in this release for further information.</w:t>
      </w:r>
    </w:p>
    <w:p>
      <w:pPr>
        <w:pStyle w:val="TextBody"/>
        <w:bidi w:val="0"/>
        <w:spacing w:before="0" w:after="100"/>
        <w:jc w:val="both"/>
        <w:rPr/>
      </w:pPr>
      <w:r>
        <w:rPr/>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CORE SALES GROWTH BY SEGMENT</w:t>
      </w:r>
    </w:p>
    <w:p>
      <w:pPr>
        <w:pStyle w:val="TextBody"/>
        <w:bidi w:val="0"/>
        <w:spacing w:before="0" w:after="0"/>
        <w:jc w:val="center"/>
        <w:rPr/>
      </w:pPr>
      <w:r>
        <w:rPr/>
      </w:r>
    </w:p>
    <w:tbl>
      <w:tblPr>
        <w:tblW w:w="9557" w:type="dxa"/>
        <w:jc w:val="center"/>
        <w:tblInd w:w="0" w:type="dxa"/>
        <w:tblLayout w:type="fixed"/>
        <w:tblCellMar>
          <w:top w:w="28" w:type="dxa"/>
          <w:left w:w="28" w:type="dxa"/>
          <w:bottom w:w="28" w:type="dxa"/>
          <w:right w:w="28" w:type="dxa"/>
        </w:tblCellMar>
      </w:tblPr>
      <w:tblGrid>
        <w:gridCol w:w="1076"/>
        <w:gridCol w:w="945"/>
        <w:gridCol w:w="948"/>
        <w:gridCol w:w="352"/>
        <w:gridCol w:w="352"/>
        <w:gridCol w:w="930"/>
        <w:gridCol w:w="469"/>
        <w:gridCol w:w="469"/>
        <w:gridCol w:w="1237"/>
        <w:gridCol w:w="248"/>
        <w:gridCol w:w="248"/>
        <w:gridCol w:w="538"/>
        <w:gridCol w:w="250"/>
        <w:gridCol w:w="250"/>
        <w:gridCol w:w="655"/>
        <w:gridCol w:w="109"/>
        <w:gridCol w:w="109"/>
        <w:gridCol w:w="109"/>
        <w:gridCol w:w="109"/>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Sales Growth</w:t>
              <w:br/>
              <w:t>(Reported)</w:t>
            </w:r>
          </w:p>
        </w:tc>
        <w:tc>
          <w:tcPr>
            <w:tcW w:w="2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Divestitures and Other, </w:t>
            </w:r>
          </w:p>
          <w:p>
            <w:pPr>
              <w:pStyle w:val="TableContents"/>
              <w:bidi w:val="0"/>
              <w:spacing w:lineRule="auto" w:line="240" w:before="0" w:after="0"/>
              <w:jc w:val="center"/>
              <w:rPr/>
            </w:pPr>
            <w:r>
              <w:rPr>
                <w:rFonts w:ascii="Arial;sans-serif" w:hAnsi="Arial;sans-serif"/>
                <w:b w:val="false"/>
                <w:color w:val="000000"/>
                <w:sz w:val="20"/>
              </w:rPr>
              <w:t xml:space="preserve">Net </w:t>
            </w:r>
            <w:r>
              <w:rPr>
                <w:rFonts w:ascii="Arial;sans-serif" w:hAnsi="Arial;sans-serif"/>
                <w:b w:val="false"/>
                <w:color w:val="000000"/>
                <w:sz w:val="13"/>
              </w:rPr>
              <w:t>[2]</w:t>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Currency </w:t>
            </w:r>
          </w:p>
          <w:p>
            <w:pPr>
              <w:pStyle w:val="TableContents"/>
              <w:bidi w:val="0"/>
              <w:spacing w:lineRule="auto" w:line="240" w:before="0" w:after="0"/>
              <w:jc w:val="center"/>
              <w:rPr/>
            </w:pPr>
            <w:r>
              <w:rPr>
                <w:rFonts w:ascii="Arial;sans-serif" w:hAnsi="Arial;sans-serif"/>
                <w:b w:val="false"/>
                <w:color w:val="000000"/>
                <w:sz w:val="20"/>
              </w:rPr>
              <w:t xml:space="preserve">Impact </w:t>
            </w:r>
            <w:r>
              <w:rPr>
                <w:rFonts w:ascii="Arial;sans-serif" w:hAnsi="Arial;sans-serif"/>
                <w:b w:val="false"/>
                <w:color w:val="000000"/>
                <w:sz w:val="13"/>
              </w:rPr>
              <w:t>[3]</w:t>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Core </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Sales </w:t>
            </w:r>
          </w:p>
          <w:p>
            <w:pPr>
              <w:pStyle w:val="TableContents"/>
              <w:bidi w:val="0"/>
              <w:spacing w:lineRule="auto" w:line="240" w:before="0" w:after="0"/>
              <w:jc w:val="center"/>
              <w:rPr/>
            </w:pPr>
            <w:r>
              <w:rPr>
                <w:rFonts w:ascii="Arial;sans-serif" w:hAnsi="Arial;sans-serif"/>
                <w:b w:val="false"/>
                <w:color w:val="000000"/>
                <w:sz w:val="20"/>
              </w:rPr>
              <w:t xml:space="preserve">Growth </w:t>
            </w:r>
            <w:r>
              <w:rPr>
                <w:rFonts w:ascii="Arial;sans-serif" w:hAnsi="Arial;sans-serif"/>
                <w:b w:val="false"/>
                <w:color w:val="000000"/>
                <w:sz w:val="13"/>
              </w:rPr>
              <w:t>[1]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and Commercial Solutions</w:t>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Learning and Development</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Outdoor and Recreation</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Company</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w:t>
            </w:r>
            <w:r>
              <w:rPr>
                <w:color w:val="000000"/>
              </w:rPr>
              <w:t>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CORE SALES GROWTH BY GEOGRAPHY</w:t>
      </w:r>
    </w:p>
    <w:p>
      <w:pPr>
        <w:pStyle w:val="TextBody"/>
        <w:bidi w:val="0"/>
        <w:spacing w:before="0" w:after="0"/>
        <w:jc w:val="center"/>
        <w:rPr/>
      </w:pPr>
      <w:r>
        <w:rPr/>
      </w:r>
    </w:p>
    <w:tbl>
      <w:tblPr>
        <w:tblW w:w="8118" w:type="dxa"/>
        <w:jc w:val="center"/>
        <w:tblInd w:w="0" w:type="dxa"/>
        <w:tblLayout w:type="fixed"/>
        <w:tblCellMar>
          <w:top w:w="28" w:type="dxa"/>
          <w:left w:w="28" w:type="dxa"/>
          <w:bottom w:w="28" w:type="dxa"/>
          <w:right w:w="28" w:type="dxa"/>
        </w:tblCellMar>
      </w:tblPr>
      <w:tblGrid>
        <w:gridCol w:w="553"/>
        <w:gridCol w:w="488"/>
        <w:gridCol w:w="489"/>
        <w:gridCol w:w="352"/>
        <w:gridCol w:w="352"/>
        <w:gridCol w:w="930"/>
        <w:gridCol w:w="469"/>
        <w:gridCol w:w="469"/>
        <w:gridCol w:w="1237"/>
        <w:gridCol w:w="248"/>
        <w:gridCol w:w="248"/>
        <w:gridCol w:w="538"/>
        <w:gridCol w:w="250"/>
        <w:gridCol w:w="250"/>
        <w:gridCol w:w="655"/>
        <w:gridCol w:w="109"/>
        <w:gridCol w:w="109"/>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Sales Growth</w:t>
              <w:br/>
              <w:t>(Reported)</w:t>
            </w:r>
          </w:p>
        </w:tc>
        <w:tc>
          <w:tcPr>
            <w:tcW w:w="2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Divestitures and Other, </w:t>
            </w:r>
          </w:p>
          <w:p>
            <w:pPr>
              <w:pStyle w:val="TableContents"/>
              <w:bidi w:val="0"/>
              <w:spacing w:lineRule="auto" w:line="240" w:before="0" w:after="0"/>
              <w:jc w:val="center"/>
              <w:rPr/>
            </w:pPr>
            <w:r>
              <w:rPr>
                <w:rFonts w:ascii="Arial;sans-serif" w:hAnsi="Arial;sans-serif"/>
                <w:b w:val="false"/>
                <w:color w:val="000000"/>
                <w:sz w:val="20"/>
              </w:rPr>
              <w:t xml:space="preserve">Net </w:t>
            </w:r>
            <w:r>
              <w:rPr>
                <w:rFonts w:ascii="Arial;sans-serif" w:hAnsi="Arial;sans-serif"/>
                <w:b w:val="false"/>
                <w:color w:val="000000"/>
                <w:sz w:val="13"/>
              </w:rPr>
              <w:t>[2]</w:t>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Currency </w:t>
            </w:r>
          </w:p>
          <w:p>
            <w:pPr>
              <w:pStyle w:val="TableContents"/>
              <w:bidi w:val="0"/>
              <w:spacing w:lineRule="auto" w:line="240" w:before="0" w:after="0"/>
              <w:jc w:val="center"/>
              <w:rPr/>
            </w:pPr>
            <w:r>
              <w:rPr>
                <w:rFonts w:ascii="Arial;sans-serif" w:hAnsi="Arial;sans-serif"/>
                <w:b w:val="false"/>
                <w:color w:val="000000"/>
                <w:sz w:val="20"/>
              </w:rPr>
              <w:t xml:space="preserve">Impact </w:t>
            </w:r>
            <w:r>
              <w:rPr>
                <w:rFonts w:ascii="Arial;sans-serif" w:hAnsi="Arial;sans-serif"/>
                <w:b w:val="false"/>
                <w:color w:val="000000"/>
                <w:sz w:val="13"/>
              </w:rPr>
              <w:t>[3]</w:t>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Core </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Sales </w:t>
            </w:r>
          </w:p>
          <w:p>
            <w:pPr>
              <w:pStyle w:val="TableContents"/>
              <w:bidi w:val="0"/>
              <w:spacing w:lineRule="auto" w:line="240" w:before="0" w:after="0"/>
              <w:jc w:val="center"/>
              <w:rPr/>
            </w:pPr>
            <w:r>
              <w:rPr>
                <w:rFonts w:ascii="Arial;sans-serif" w:hAnsi="Arial;sans-serif"/>
                <w:b w:val="false"/>
                <w:color w:val="000000"/>
                <w:sz w:val="20"/>
              </w:rPr>
              <w:t xml:space="preserve">Growth </w:t>
            </w:r>
            <w:r>
              <w:rPr>
                <w:rFonts w:ascii="Arial;sans-serif" w:hAnsi="Arial;sans-serif"/>
                <w:b w:val="false"/>
                <w:color w:val="000000"/>
                <w:sz w:val="13"/>
              </w:rPr>
              <w:t>[1]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Company</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w:t>
            </w:r>
            <w:r>
              <w:rPr>
                <w:color w:val="000000"/>
              </w:rPr>
              <w:t>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Roboto;sans-serif" w:hAnsi="Roboto;sans-serif"/>
          <w:b w:val="false"/>
          <w:color w:val="000000"/>
          <w:sz w:val="18"/>
        </w:rPr>
        <w:t>[1]</w:t>
      </w:r>
      <w:r>
        <w:rPr>
          <w:color w:val="000000"/>
        </w:rPr>
        <w:t>“</w:t>
      </w:r>
      <w:r>
        <w:rPr>
          <w:rFonts w:ascii="Arial;sans-serif" w:hAnsi="Arial;sans-serif"/>
          <w:b w:val="false"/>
          <w:color w:val="000000"/>
          <w:sz w:val="18"/>
        </w:rPr>
        <w:t>Core Sales” provides a consistent basis for year-over-year comparisons in sales as it excludes the impacts of acquisitions and divestitures, retail store openings and closings, certain market and category exits, as well as changes in foreign currency.</w:t>
      </w:r>
    </w:p>
    <w:p>
      <w:pPr>
        <w:pStyle w:val="TextBody"/>
        <w:bidi w:val="0"/>
        <w:spacing w:lineRule="auto" w:line="288" w:before="0" w:after="0"/>
        <w:ind w:left="0" w:right="0" w:hanging="360"/>
        <w:jc w:val="both"/>
        <w:rPr/>
      </w:pPr>
      <w:r>
        <w:rPr>
          <w:rFonts w:ascii="Roboto;sans-serif" w:hAnsi="Roboto;sans-serif"/>
          <w:b w:val="false"/>
          <w:color w:val="000000"/>
          <w:sz w:val="18"/>
        </w:rPr>
        <w:t>[2]</w:t>
      </w:r>
      <w:r>
        <w:rPr>
          <w:rFonts w:ascii="Arial;sans-serif" w:hAnsi="Arial;sans-serif"/>
          <w:b w:val="false"/>
          <w:color w:val="000000"/>
          <w:sz w:val="18"/>
        </w:rPr>
        <w:t>"Divestitures and other, net" includes certain product line exits and current and prior period net sales from retail store closures (consistent with standard retail practice).</w:t>
      </w:r>
    </w:p>
    <w:p>
      <w:pPr>
        <w:pStyle w:val="TextBody"/>
        <w:bidi w:val="0"/>
        <w:spacing w:lineRule="auto" w:line="256" w:before="0" w:after="0"/>
        <w:ind w:left="0" w:right="0" w:hanging="360"/>
        <w:jc w:val="both"/>
        <w:rPr/>
      </w:pPr>
      <w:r>
        <w:rPr>
          <w:rFonts w:ascii="Roboto;sans-serif" w:hAnsi="Roboto;sans-serif"/>
          <w:b w:val="false"/>
          <w:color w:val="000000"/>
          <w:sz w:val="18"/>
        </w:rPr>
        <w:t>[3]</w:t>
      </w:r>
      <w:r>
        <w:rPr>
          <w:color w:val="000000"/>
        </w:rPr>
        <w:t>“</w:t>
      </w:r>
      <w:r>
        <w:rPr>
          <w:rFonts w:ascii="Arial;sans-serif" w:hAnsi="Arial;sans-serif"/>
          <w:b w:val="false"/>
          <w:color w:val="000000"/>
          <w:sz w:val="18"/>
        </w:rPr>
        <w:t>Currency Impact” represents the effect of foreign currency on 2026 reported sales and is calculated by applying the 2025 average monthly exchange rates to the current year local currency sales amounts (excluding acquisitions and divestitures) and comparing to 2025 reported sales.</w:t>
      </w:r>
    </w:p>
    <w:p>
      <w:pPr>
        <w:pStyle w:val="TextBody"/>
        <w:bidi w:val="0"/>
        <w:spacing w:lineRule="auto" w:line="288" w:before="0" w:after="0"/>
        <w:ind w:left="0" w:right="0" w:hanging="360"/>
        <w:jc w:val="both"/>
        <w:rPr/>
      </w:pPr>
      <w:r>
        <w:rPr>
          <w:rFonts w:ascii="Roboto;sans-serif" w:hAnsi="Roboto;sans-serif"/>
          <w:b w:val="false"/>
          <w:color w:val="000000"/>
          <w:sz w:val="18"/>
        </w:rPr>
        <w:t>[4]</w:t>
      </w:r>
      <w:r>
        <w:rPr>
          <w:rFonts w:ascii="Arial;sans-serif" w:hAnsi="Arial;sans-serif"/>
          <w:b w:val="false"/>
          <w:color w:val="000000"/>
          <w:sz w:val="18"/>
        </w:rPr>
        <w:t>Totals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NORMALIZED EBITDA RECONCILIATION</w:t>
      </w:r>
    </w:p>
    <w:tbl>
      <w:tblPr>
        <w:tblW w:w="9134" w:type="dxa"/>
        <w:jc w:val="center"/>
        <w:tblInd w:w="0" w:type="dxa"/>
        <w:tblLayout w:type="fixed"/>
        <w:tblCellMar>
          <w:top w:w="28" w:type="dxa"/>
          <w:left w:w="28" w:type="dxa"/>
          <w:bottom w:w="28" w:type="dxa"/>
          <w:right w:w="28" w:type="dxa"/>
        </w:tblCellMar>
      </w:tblPr>
      <w:tblGrid>
        <w:gridCol w:w="1452"/>
        <w:gridCol w:w="1275"/>
        <w:gridCol w:w="1278"/>
        <w:gridCol w:w="109"/>
        <w:gridCol w:w="109"/>
        <w:gridCol w:w="109"/>
        <w:gridCol w:w="930"/>
        <w:gridCol w:w="930"/>
        <w:gridCol w:w="211"/>
        <w:gridCol w:w="481"/>
        <w:gridCol w:w="109"/>
        <w:gridCol w:w="211"/>
        <w:gridCol w:w="481"/>
        <w:gridCol w:w="109"/>
        <w:gridCol w:w="211"/>
        <w:gridCol w:w="331"/>
        <w:gridCol w:w="109"/>
        <w:gridCol w:w="201"/>
        <w:gridCol w:w="201"/>
        <w:gridCol w:w="287"/>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0"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 March 31,</w:t>
            </w:r>
          </w:p>
        </w:tc>
        <w:tc>
          <w:tcPr>
            <w:tcW w:w="16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Change</w:t>
            </w:r>
          </w:p>
        </w:tc>
        <w:tc>
          <w:tcPr>
            <w:tcW w:w="1340" w:type="dxa"/>
            <w:gridSpan w:val="6"/>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loss, as reported under GAAP </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10.8%</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Total normalized adjustments, net of tax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Normalized net loss </w:t>
            </w:r>
            <w:r>
              <w:rPr>
                <w:rFonts w:ascii="Arial;sans-serif" w:hAnsi="Arial;sans-serif"/>
                <w:b/>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Normalized income tax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expense, net </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Normalized depreciation and amortization </w:t>
            </w:r>
            <w:r>
              <w:rPr>
                <w:rFonts w:ascii="Arial;sans-serif" w:hAnsi="Arial;sans-serif"/>
                <w:b w:val="false"/>
                <w:color w:val="000000"/>
                <w:sz w:val="12"/>
              </w:rPr>
              <w:t>[2] [4]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Stock-based compensation </w:t>
            </w:r>
            <w:r>
              <w:rPr>
                <w:rFonts w:ascii="Arial;sans-serif" w:hAnsi="Arial;sans-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Normalized EBITDA </w:t>
            </w:r>
            <w:r>
              <w:rPr>
                <w:rFonts w:ascii="Arial;sans-serif" w:hAnsi="Arial;sans-serif"/>
                <w:b/>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(0.7)%</w:t>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[1]Refer to “Condensed Consolidated Statements of Operations (Unaudited)” for the three months ended March 31, 2026 and 2025 in this release.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[2]Refer to Total normalized adjustments, net of tax in the "Reconciliation of GAAP and Non-GAAP Information (Unaudited) - Certain Line Items" for the three months ended March 31, 2026 and 2025 in this release.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[3]Refer to Normalized income tax provision (benefit) in the "Reconciliation of GAAP and Non-GAAP Information (Unaudited) - Certain Line Items" for the three months ended March 31, 2026 and 2025 in this release.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[4]Refer to "Condensed Consolidated Statement of Cash Flows (Unaudited)" for the three months ended March 31, 2026 and 2025 in this release.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[5]Normalized depreciation and amortization exclude the amortization of acquired intangibles. For the three months ended March 31, 2026 and 2025 excludes $24 million and $23 million, respectively.</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[6]The Company defines Normalized EBITDA as earnings before interest, taxes, depreciation and amortization, adjusted for certain items and non-cash stock-based compensation expense.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NET DEBT AND TRAILING TWELVE MONTHS NORMALIZED EBITDA RECONCILIATION</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98"/>
        <w:gridCol w:w="1196"/>
        <w:gridCol w:w="1201"/>
        <w:gridCol w:w="443"/>
        <w:gridCol w:w="1327"/>
        <w:gridCol w:w="230"/>
        <w:gridCol w:w="109"/>
        <w:gridCol w:w="109"/>
        <w:gridCol w:w="109"/>
        <w:gridCol w:w="334"/>
        <w:gridCol w:w="1000"/>
        <w:gridCol w:w="172"/>
        <w:gridCol w:w="109"/>
        <w:gridCol w:w="109"/>
        <w:gridCol w:w="109"/>
        <w:gridCol w:w="431"/>
        <w:gridCol w:w="1294"/>
        <w:gridCol w:w="325"/>
      </w:tblGrid>
      <w:tr>
        <w:trPr/>
        <w:tc>
          <w:tcPr>
            <w:tcW w:w="159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Trailing-twelve months ended </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Twelve months ended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Trailing-twelve months ended </w:t>
              <w:br/>
              <w:t>March 31, 2025</w:t>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debt reconciliation:</w:t>
            </w:r>
          </w:p>
        </w:tc>
        <w:tc>
          <w:tcPr>
            <w:tcW w:w="2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 and current portion of long-term debt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debt</w:t>
            </w:r>
          </w:p>
        </w:tc>
        <w:tc>
          <w:tcPr>
            <w:tcW w:w="1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4,965 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4,920 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and cash equivalents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Net debt </w:t>
            </w:r>
            <w:r>
              <w:rPr>
                <w:rFonts w:ascii="Arial;sans-serif" w:hAnsi="Arial;sans-serif"/>
                <w:b/>
                <w:color w:val="000000"/>
                <w:sz w:val="12"/>
              </w:rPr>
              <w:t>[1]</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4,764</w:t>
            </w: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4,470</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4,687</w:t>
            </w:r>
            <w:r>
              <w:rPr>
                <w:color w:val="000000"/>
              </w:rPr>
              <w:t>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as reported under GAAP</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(244)</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2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other employee termination costs</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termination and other costs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valuation adjustments and disposal gains or losses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Duplicative costs pending facility closure or exit of business activity</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Consulting costs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acquired intangible assets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divestitures and transaction costs</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 hyperinflationary charge</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income tax adjustments</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normalized adjustments, net of tax</w:t>
            </w:r>
          </w:p>
        </w:tc>
        <w:tc>
          <w:tcPr>
            <w:tcW w:w="1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506</w:t>
            </w: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525</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524</w:t>
            </w:r>
            <w:r>
              <w:rPr>
                <w:color w:val="000000"/>
              </w:rPr>
              <w:t>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net income</w:t>
            </w:r>
          </w:p>
        </w:tc>
        <w:tc>
          <w:tcPr>
            <w:tcW w:w="1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225</w:t>
            </w: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240</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280</w:t>
            </w:r>
            <w:r>
              <w:rPr>
                <w:color w:val="000000"/>
              </w:rPr>
              <w:t>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Normalized income tax</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Normalized depreciation and amortization </w:t>
            </w:r>
            <w:r>
              <w:rPr>
                <w:rFonts w:ascii="Arial;sans-serif" w:hAnsi="Arial;sans-serif"/>
                <w:b w:val="false"/>
                <w:color w:val="000000"/>
                <w:sz w:val="12"/>
              </w:rPr>
              <w:t>[2]</w:t>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 expense</w:t>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EBITDA</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881</w:t>
            </w:r>
            <w:r>
              <w:rPr>
                <w:color w:val="000000"/>
              </w:rPr>
              <w:t>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882</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884</w:t>
            </w:r>
            <w:r>
              <w:rPr>
                <w:color w:val="000000"/>
              </w:rPr>
              <w:t>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[1]The Company defines net debt as gross debt less the total of cash and cash equivalents. The Company believes net debt is meaningful to investors as it considers net debt and its components to be an important indicator of liquidity and a guiding measure of capital structure strategy.</w:t>
      </w:r>
    </w:p>
    <w:p>
      <w:pPr>
        <w:pStyle w:val="TextBody"/>
        <w:bidi w:val="0"/>
        <w:spacing w:lineRule="auto" w:line="256" w:before="0" w:after="0"/>
        <w:ind w:left="0" w:right="0" w:hanging="360"/>
        <w:jc w:val="both"/>
        <w:rPr>
          <w:rFonts w:ascii="Arial;sans-serif" w:hAnsi="Arial;sans-serif"/>
          <w:b w:val="false"/>
          <w:color w:val="000000"/>
          <w:sz w:val="18"/>
        </w:rPr>
      </w:pPr>
      <w:r>
        <w:rPr>
          <w:rFonts w:ascii="Arial;sans-serif" w:hAnsi="Arial;sans-serif"/>
          <w:b w:val="false"/>
          <w:color w:val="000000"/>
          <w:sz w:val="18"/>
        </w:rPr>
        <w:t>[2]Normalized depreciation and amortization excludes from GAAP depreciation and amortization acquisition amortization expense of $93 million and $97 million associated with amortization of intangible assets recognized in purchase accounting for the trailing-twelve months ended March 31, 2026 and 2025, respectively and $92 million for the twelve months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(Amounts in millions)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NORMALIZED OVERHEADS</w:t>
      </w:r>
    </w:p>
    <w:p>
      <w:pPr>
        <w:pStyle w:val="TextBody"/>
        <w:bidi w:val="0"/>
        <w:spacing w:before="0" w:after="0"/>
        <w:jc w:val="center"/>
        <w:rPr/>
      </w:pPr>
      <w:r>
        <w:rPr/>
      </w:r>
    </w:p>
    <w:p>
      <w:pPr>
        <w:pStyle w:val="TextBody"/>
        <w:bidi w:val="0"/>
        <w:spacing w:before="0" w:after="0"/>
        <w:jc w:val="center"/>
        <w:rPr/>
      </w:pPr>
      <w:r>
        <w:rPr/>
      </w:r>
    </w:p>
    <w:tbl>
      <w:tblPr>
        <w:tblW w:w="9249" w:type="dxa"/>
        <w:jc w:val="center"/>
        <w:tblInd w:w="0" w:type="dxa"/>
        <w:tblLayout w:type="fixed"/>
        <w:tblCellMar>
          <w:top w:w="28" w:type="dxa"/>
          <w:left w:w="28" w:type="dxa"/>
          <w:bottom w:w="28" w:type="dxa"/>
          <w:right w:w="28" w:type="dxa"/>
        </w:tblCellMar>
      </w:tblPr>
      <w:tblGrid>
        <w:gridCol w:w="2220"/>
        <w:gridCol w:w="1952"/>
        <w:gridCol w:w="1962"/>
        <w:gridCol w:w="109"/>
        <w:gridCol w:w="109"/>
        <w:gridCol w:w="109"/>
        <w:gridCol w:w="256"/>
        <w:gridCol w:w="584"/>
        <w:gridCol w:w="329"/>
        <w:gridCol w:w="132"/>
        <w:gridCol w:w="132"/>
        <w:gridCol w:w="132"/>
        <w:gridCol w:w="256"/>
        <w:gridCol w:w="584"/>
        <w:gridCol w:w="383"/>
      </w:tblGrid>
      <w:tr>
        <w:trPr/>
        <w:tc>
          <w:tcPr>
            <w:tcW w:w="222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Selling, general and administrative expenses, as reported under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472</w:t>
            </w: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471</w:t>
            </w: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Transactions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Normalized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441</w:t>
            </w: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437</w:t>
            </w: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and promotion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Normalized overheads </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359</w:t>
            </w: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w:t>
            </w: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As a % of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23.2</w:t>
            </w: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23.0</w:t>
            </w: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[1]Normalized overheads is calculated as selling, general and administrative expenses as reported under GAAP adjusted for certain items that are deemed stand-alone items apart from the Company's core operations ("Normalized Adjustments") and excluding advertising and promotion costs. Refer to Total normalized adjustments to operating income (loss), as reported under GAAP in the "Reconciliation of GAAP and Non-GAAP Information (Unaudited) - Certain Line Items" for the three months ended March 31, 2026 and 2025 in this release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NEWELL BRANDS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RECONCILIATION OF GAAP AND NON-GAAP INFORMATION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CORE SALES OUTLOOK</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81"/>
        <w:gridCol w:w="1736"/>
        <w:gridCol w:w="1746"/>
        <w:gridCol w:w="240"/>
        <w:gridCol w:w="235"/>
        <w:gridCol w:w="235"/>
        <w:gridCol w:w="235"/>
        <w:gridCol w:w="235"/>
        <w:gridCol w:w="235"/>
        <w:gridCol w:w="235"/>
        <w:gridCol w:w="235"/>
        <w:gridCol w:w="235"/>
        <w:gridCol w:w="109"/>
        <w:gridCol w:w="109"/>
        <w:gridCol w:w="109"/>
        <w:gridCol w:w="244"/>
        <w:gridCol w:w="240"/>
        <w:gridCol w:w="240"/>
        <w:gridCol w:w="240"/>
        <w:gridCol w:w="240"/>
        <w:gridCol w:w="240"/>
        <w:gridCol w:w="240"/>
        <w:gridCol w:w="240"/>
        <w:gridCol w:w="371"/>
      </w:tblGrid>
      <w:tr>
        <w:trPr/>
        <w:tc>
          <w:tcPr>
            <w:tcW w:w="1981"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Ending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Twelve Months Ending </w:t>
              <w:br/>
              <w:t>December 31, 2026</w:t>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Estimated net sales change (GAAP)</w:t>
            </w:r>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Flat</w:t>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Flat</w:t>
            </w:r>
          </w:p>
        </w:tc>
        <w:tc>
          <w:tcPr>
            <w:tcW w:w="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r>
        <w:trPr/>
        <w:tc>
          <w:tcPr>
            <w:tcW w:w="54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Estimated currency impact </w:t>
            </w:r>
            <w:r>
              <w:rPr>
                <w:rFonts w:ascii="Arial;sans-serif" w:hAnsi="Arial;sans-serif"/>
                <w:b w:val="false"/>
                <w:color w:val="000000"/>
                <w:sz w:val="13"/>
              </w:rPr>
              <w:t xml:space="preserve">[1] </w:t>
            </w:r>
            <w:r>
              <w:rPr>
                <w:rFonts w:ascii="Arial;sans-serif" w:hAnsi="Arial;sans-serif"/>
                <w:b w:val="false"/>
                <w:color w:val="000000"/>
                <w:sz w:val="20"/>
              </w:rPr>
              <w:t xml:space="preserve">and divestitures and other, net </w:t>
            </w:r>
            <w:r>
              <w:rPr>
                <w:rFonts w:ascii="Arial;sans-serif" w:hAnsi="Arial;sans-serif"/>
                <w:b w:val="false"/>
                <w:color w:val="000000"/>
                <w:sz w:val="13"/>
              </w:rPr>
              <w:t xml:space="preserve">[2] </w:t>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(1)%</w:t>
            </w:r>
          </w:p>
        </w:tc>
      </w:tr>
      <w:tr>
        <w:trPr/>
        <w:tc>
          <w:tcPr>
            <w:tcW w:w="5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Core sales change (Non-GAAP) </w:t>
            </w:r>
            <w:r>
              <w:rPr>
                <w:rFonts w:ascii="Arial;sans-serif" w:hAnsi="Arial;sans-serif"/>
                <w:b w:val="false"/>
                <w:color w:val="000000"/>
                <w:sz w:val="13"/>
              </w:rPr>
              <w:t>[3]</w:t>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Flat</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56" w:before="0" w:after="0"/>
        <w:ind w:left="0" w:right="0" w:hanging="360"/>
        <w:jc w:val="both"/>
        <w:rPr/>
      </w:pPr>
      <w:r>
        <w:rPr>
          <w:rFonts w:ascii="Roboto;sans-serif" w:hAnsi="Roboto;sans-serif"/>
          <w:b w:val="false"/>
          <w:color w:val="000000"/>
          <w:sz w:val="18"/>
        </w:rPr>
        <w:t>[1]</w:t>
      </w:r>
      <w:r>
        <w:rPr>
          <w:color w:val="000000"/>
        </w:rPr>
        <w:t>“</w:t>
      </w:r>
      <w:r>
        <w:rPr>
          <w:rFonts w:ascii="Arial;sans-serif" w:hAnsi="Arial;sans-serif"/>
          <w:b w:val="false"/>
          <w:color w:val="000000"/>
          <w:sz w:val="18"/>
        </w:rPr>
        <w:t>Currency Impact” represents the effect of foreign currency on 2026 estimated sales and is calculated by applying the 2025 average monthly exchange rates to the current year local currency sales amounts (excluding divestitures) and comparing to 2025 sales.</w:t>
      </w:r>
    </w:p>
    <w:p>
      <w:pPr>
        <w:pStyle w:val="TextBody"/>
        <w:bidi w:val="0"/>
        <w:spacing w:lineRule="auto" w:line="288" w:before="0" w:after="0"/>
        <w:ind w:left="0" w:right="0" w:hanging="360"/>
        <w:jc w:val="both"/>
        <w:rPr/>
      </w:pPr>
      <w:r>
        <w:rPr>
          <w:rFonts w:ascii="Roboto;sans-serif" w:hAnsi="Roboto;sans-serif"/>
          <w:b w:val="false"/>
          <w:color w:val="000000"/>
          <w:sz w:val="18"/>
        </w:rPr>
        <w:t>[2]</w:t>
      </w:r>
      <w:r>
        <w:rPr>
          <w:rFonts w:ascii="Arial;sans-serif" w:hAnsi="Arial;sans-serif"/>
          <w:b w:val="false"/>
          <w:color w:val="000000"/>
          <w:sz w:val="18"/>
        </w:rPr>
        <w:t>"Divestitures and other, net" includes certain product line exits, returns related to the French Door Countertop Ovens recall (within the Home and Commercial Solutions segment) and current and prior period net sales from retail store closures (consistent with standard retail practice).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[3]Totals may not add due to rounding.</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6587</Words>
  <Characters>37082</Characters>
  <CharactersWithSpaces>43188</CharactersWithSpaces>
  <Paragraphs>1187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