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100" w:after="283"/>
        <w:jc w:val="center"/>
        <w:rPr/>
      </w:pPr>
      <w:r>
        <w:rPr>
          <w:color w:val="000000"/>
        </w:rPr>
        <w:t xml:space="preserve">☒ </w:t>
      </w:r>
      <w:r>
        <w:rPr>
          <w:rFonts w:ascii="Arial;sans-serif" w:hAnsi="Arial;sans-serif"/>
          <w:b/>
          <w:color w:val="000000"/>
          <w:sz w:val="20"/>
        </w:rPr>
        <w:t>Quarterly Report Pursuant to Section 13 or 15(d)</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Commission File Number 1-9608 </w:t>
      </w:r>
    </w:p>
    <w:p>
      <w:pPr>
        <w:pStyle w:val="TextBody"/>
        <w:bidi w:val="0"/>
        <w:spacing w:before="180" w:after="283"/>
        <w:jc w:val="center"/>
        <w:rPr/>
      </w:pPr>
      <w:r>
        <w:rPr/>
      </w:r>
    </w:p>
    <w:p>
      <w:pPr>
        <w:pStyle w:val="TextBody"/>
        <w:bidi w:val="0"/>
        <w:spacing w:lineRule="auto" w:line="288" w:before="100" w:after="283"/>
        <w:jc w:val="center"/>
        <w:rPr>
          <w:rFonts w:ascii="Arial;sans-serif" w:hAnsi="Arial;sans-serif"/>
          <w:b/>
          <w:color w:val="000000"/>
          <w:sz w:val="48"/>
        </w:rPr>
      </w:pPr>
      <w:r>
        <w:rPr>
          <w:rFonts w:ascii="Arial;sans-serif" w:hAnsi="Arial;sans-serif"/>
          <w:b/>
          <w:color w:val="000000"/>
          <w:sz w:val="48"/>
        </w:rPr>
        <w:t xml:space="preserve">NEWELL BRANDS INC. </w:t>
      </w:r>
    </w:p>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8666" w:type="dxa"/>
        <w:jc w:val="center"/>
        <w:tblInd w:w="0" w:type="dxa"/>
        <w:tblLayout w:type="fixed"/>
        <w:tblCellMar>
          <w:top w:w="28" w:type="dxa"/>
          <w:left w:w="28" w:type="dxa"/>
          <w:bottom w:w="28" w:type="dxa"/>
          <w:right w:w="28" w:type="dxa"/>
        </w:tblCellMar>
      </w:tblPr>
      <w:tblGrid>
        <w:gridCol w:w="1860"/>
        <w:gridCol w:w="1638"/>
        <w:gridCol w:w="1647"/>
        <w:gridCol w:w="109"/>
        <w:gridCol w:w="109"/>
        <w:gridCol w:w="109"/>
        <w:gridCol w:w="932"/>
        <w:gridCol w:w="932"/>
        <w:gridCol w:w="1330"/>
      </w:tblGrid>
      <w:tr>
        <w:trPr/>
        <w:tc>
          <w:tcPr>
            <w:tcW w:w="1860"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center"/>
              <w:rPr/>
            </w:pPr>
            <w:r>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36-3514169</w:t>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lineRule="auto" w:line="288" w:before="40" w:after="283"/>
        <w:jc w:val="center"/>
        <w:rPr>
          <w:rFonts w:ascii="Arial;sans-serif" w:hAnsi="Arial;sans-serif"/>
          <w:b w:val="false"/>
          <w:color w:val="000000"/>
          <w:sz w:val="20"/>
        </w:rPr>
      </w:pPr>
      <w:r>
        <w:rPr>
          <w:rFonts w:ascii="Arial;sans-serif" w:hAnsi="Arial;sans-serif"/>
          <w:b w:val="false"/>
          <w:color w:val="000000"/>
          <w:sz w:val="20"/>
        </w:rPr>
        <w:t xml:space="preserve">5 Concourse Parkway NE, 8th Floor, </w:t>
      </w:r>
    </w:p>
    <w:p>
      <w:pPr>
        <w:pStyle w:val="TextBody"/>
        <w:bidi w:val="0"/>
        <w:spacing w:lineRule="auto" w:line="288" w:before="40" w:after="283"/>
        <w:jc w:val="center"/>
        <w:rPr>
          <w:rFonts w:ascii="Arial;sans-serif" w:hAnsi="Arial;sans-serif"/>
          <w:b w:val="false"/>
          <w:color w:val="000000"/>
          <w:sz w:val="20"/>
        </w:rPr>
      </w:pPr>
      <w:r>
        <w:rPr>
          <w:rFonts w:ascii="Arial;sans-serif" w:hAnsi="Arial;sans-serif"/>
          <w:b w:val="false"/>
          <w:color w:val="000000"/>
          <w:sz w:val="20"/>
        </w:rPr>
        <w:t xml:space="preserve">Atlanta, Georgia 30328 </w:t>
      </w:r>
    </w:p>
    <w:p>
      <w:pPr>
        <w:pStyle w:val="TextBody"/>
        <w:bidi w:val="0"/>
        <w:spacing w:lineRule="auto" w:line="288" w:before="4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p>
      <w:pPr>
        <w:pStyle w:val="TextBody"/>
        <w:bidi w:val="0"/>
        <w:spacing w:lineRule="auto" w:line="288" w:before="40" w:after="283"/>
        <w:jc w:val="center"/>
        <w:rPr>
          <w:rFonts w:ascii="Arial;sans-serif" w:hAnsi="Arial;sans-serif"/>
          <w:b w:val="false"/>
          <w:color w:val="000000"/>
          <w:sz w:val="20"/>
        </w:rPr>
      </w:pPr>
      <w:r>
        <w:rPr>
          <w:rFonts w:ascii="Arial;sans-serif" w:hAnsi="Arial;sans-serif"/>
          <w:b w:val="false"/>
          <w:color w:val="000000"/>
          <w:sz w:val="20"/>
        </w:rPr>
        <w:t>(Zip Code)</w:t>
      </w:r>
    </w:p>
    <w:p>
      <w:pPr>
        <w:pStyle w:val="TextBody"/>
        <w:bidi w:val="0"/>
        <w:spacing w:lineRule="auto" w:line="288" w:before="40" w:after="283"/>
        <w:jc w:val="center"/>
        <w:rPr>
          <w:rFonts w:ascii="Arial;sans-serif" w:hAnsi="Arial;sans-serif"/>
          <w:b w:val="false"/>
          <w:color w:val="000000"/>
          <w:sz w:val="20"/>
        </w:rPr>
      </w:pPr>
      <w:r>
        <w:rPr>
          <w:rFonts w:ascii="Arial;sans-serif" w:hAnsi="Arial;sans-serif"/>
          <w:b w:val="false"/>
          <w:color w:val="000000"/>
          <w:sz w:val="20"/>
        </w:rPr>
        <w:t xml:space="preserve">Registrant’s telephone number, including area code: (770) 418-7000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907" w:type="dxa"/>
        <w:jc w:val="center"/>
        <w:tblInd w:w="0" w:type="dxa"/>
        <w:tblLayout w:type="fixed"/>
        <w:tblCellMar>
          <w:top w:w="28" w:type="dxa"/>
          <w:left w:w="28" w:type="dxa"/>
          <w:bottom w:w="28" w:type="dxa"/>
          <w:right w:w="28" w:type="dxa"/>
        </w:tblCellMar>
      </w:tblPr>
      <w:tblGrid>
        <w:gridCol w:w="1182"/>
        <w:gridCol w:w="1039"/>
        <w:gridCol w:w="1049"/>
        <w:gridCol w:w="109"/>
        <w:gridCol w:w="109"/>
        <w:gridCol w:w="109"/>
        <w:gridCol w:w="579"/>
        <w:gridCol w:w="579"/>
        <w:gridCol w:w="581"/>
        <w:gridCol w:w="109"/>
        <w:gridCol w:w="109"/>
        <w:gridCol w:w="109"/>
        <w:gridCol w:w="1243"/>
        <w:gridCol w:w="1243"/>
        <w:gridCol w:w="1758"/>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NAME OF EXCHANGE ON WHICH REGISTERED</w:t>
            </w:r>
          </w:p>
        </w:tc>
      </w:tr>
      <w:tr>
        <w:trPr/>
        <w:tc>
          <w:tcPr>
            <w:tcW w:w="3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NWL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Nasdaq Stock Market LLC</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Securities registered pursuant to Section 12(g) of the Act:    None</w:t>
      </w:r>
    </w:p>
    <w:p>
      <w:pPr>
        <w:pStyle w:val="TextBody"/>
        <w:bidi w:val="0"/>
        <w:spacing w:lineRule="auto" w:line="288" w:before="100" w:after="283"/>
        <w:jc w:val="both"/>
        <w:rPr/>
      </w:pPr>
      <w:r>
        <w:rPr>
          <w:rFonts w:ascii="Arial;sans-serif" w:hAnsi="Arial;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00" w:after="283"/>
        <w:jc w:val="both"/>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60"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809"/>
        <w:gridCol w:w="809"/>
        <w:gridCol w:w="813"/>
        <w:gridCol w:w="109"/>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00" w:after="283"/>
        <w:jc w:val="both"/>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Number of shares of common stock outstanding (net of treasury shares) as of July 27, 2026: 425.9 million.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tbl>
      <w:tblPr>
        <w:tblW w:w="9897" w:type="dxa"/>
        <w:jc w:val="left"/>
        <w:tblInd w:w="0" w:type="dxa"/>
        <w:tblLayout w:type="fixed"/>
        <w:tblCellMar>
          <w:top w:w="28" w:type="dxa"/>
          <w:left w:w="28" w:type="dxa"/>
          <w:bottom w:w="28" w:type="dxa"/>
          <w:right w:w="28" w:type="dxa"/>
        </w:tblCellMar>
      </w:tblPr>
      <w:tblGrid>
        <w:gridCol w:w="3451"/>
        <w:gridCol w:w="3030"/>
        <w:gridCol w:w="3044"/>
        <w:gridCol w:w="109"/>
        <w:gridCol w:w="109"/>
        <w:gridCol w:w="154"/>
      </w:tblGrid>
      <w:tr>
        <w:trPr/>
        <w:tc>
          <w:tcPr>
            <w:tcW w:w="3451"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4"/>
                <w:u w:val="single"/>
              </w:rPr>
            </w:pPr>
            <w:r>
              <w:rPr>
                <w:rFonts w:ascii="Arial;sans-serif" w:hAnsi="Arial;sans-serif"/>
                <w:b/>
                <w:color w:val="000000"/>
                <w:sz w:val="24"/>
                <w:u w:val="single"/>
              </w:rPr>
              <w:t>TABLE OF CONTENTS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10">
              <w:r>
                <w:rPr>
                  <w:rStyle w:val="InternetLink"/>
                  <w:rFonts w:ascii="Arial;sans-serif" w:hAnsi="Arial;sans-serif"/>
                  <w:b w:val="false"/>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10">
              <w:r>
                <w:rPr>
                  <w:rStyle w:val="InternetLink"/>
                  <w:rFonts w:ascii="Arial;sans-serif" w:hAnsi="Arial;sans-serif"/>
                  <w:b w:val="false"/>
                  <w:strike w:val="false"/>
                  <w:dstrike w:val="false"/>
                  <w:color w:val="0000FF"/>
                  <w:sz w:val="20"/>
                  <w:u w:val="none"/>
                  <w:effect w:val="none"/>
                </w:rPr>
                <w:t>2</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13">
              <w:r>
                <w:rPr>
                  <w:rStyle w:val="InternetLink"/>
                  <w:rFonts w:ascii="Arial;sans-serif" w:hAnsi="Arial;sans-serif"/>
                  <w:b w:val="false"/>
                  <w:color w:val="0000FF"/>
                  <w:sz w:val="20"/>
                  <w:u w:val="singl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13">
              <w:r>
                <w:rPr>
                  <w:rStyle w:val="InternetLink"/>
                  <w:rFonts w:ascii="Arial;sans-serif" w:hAnsi="Arial;sans-serif"/>
                  <w:b w:val="false"/>
                  <w:strike w:val="false"/>
                  <w:dstrike w:val="false"/>
                  <w:color w:val="0000FF"/>
                  <w:sz w:val="20"/>
                  <w:u w:val="none"/>
                  <w:effect w:val="none"/>
                </w:rPr>
                <w:t>2</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73">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73">
              <w:r>
                <w:rPr>
                  <w:rStyle w:val="InternetLink"/>
                  <w:rFonts w:ascii="Arial;sans-serif" w:hAnsi="Arial;sans-serif"/>
                  <w:b w:val="false"/>
                  <w:strike w:val="false"/>
                  <w:dstrike w:val="false"/>
                  <w:color w:val="0000FF"/>
                  <w:sz w:val="20"/>
                  <w:u w:val="none"/>
                  <w:effect w:val="none"/>
                </w:rPr>
                <w:t>24</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97">
              <w:r>
                <w:rPr>
                  <w:rStyle w:val="InternetLink"/>
                  <w:rFonts w:ascii="Arial;sans-serif" w:hAnsi="Arial;sans-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97">
              <w:r>
                <w:rPr>
                  <w:rStyle w:val="InternetLink"/>
                  <w:rFonts w:ascii="Arial;sans-serif" w:hAnsi="Arial;sans-serif"/>
                  <w:b w:val="false"/>
                  <w:strike w:val="false"/>
                  <w:dstrike w:val="false"/>
                  <w:color w:val="0000FF"/>
                  <w:sz w:val="20"/>
                  <w:u w:val="none"/>
                  <w:effect w:val="none"/>
                </w:rPr>
                <w:t>35</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100">
              <w:r>
                <w:rPr>
                  <w:rStyle w:val="InternetLink"/>
                  <w:rFonts w:ascii="Arial;sans-serif" w:hAnsi="Arial;sans-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100">
              <w:r>
                <w:rPr>
                  <w:rStyle w:val="InternetLink"/>
                  <w:rFonts w:ascii="Arial;sans-serif" w:hAnsi="Arial;sans-serif"/>
                  <w:b w:val="false"/>
                  <w:strike w:val="false"/>
                  <w:dstrike w:val="false"/>
                  <w:color w:val="0000FF"/>
                  <w:sz w:val="20"/>
                  <w:u w:val="none"/>
                  <w:effect w:val="none"/>
                </w:rPr>
                <w:t>35</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103">
              <w:r>
                <w:rPr>
                  <w:rStyle w:val="InternetLink"/>
                  <w:rFonts w:ascii="Arial;sans-serif" w:hAnsi="Arial;sans-serif"/>
                  <w:b w:val="false"/>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103">
              <w:r>
                <w:rPr>
                  <w:rStyle w:val="InternetLink"/>
                  <w:rFonts w:ascii="Arial;sans-serif" w:hAnsi="Arial;sans-serif"/>
                  <w:b w:val="false"/>
                  <w:strike w:val="false"/>
                  <w:dstrike w:val="false"/>
                  <w:color w:val="0000FF"/>
                  <w:sz w:val="20"/>
                  <w:u w:val="none"/>
                  <w:effect w:val="none"/>
                </w:rPr>
                <w:t>35</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106">
              <w:r>
                <w:rPr>
                  <w:rStyle w:val="InternetLink"/>
                  <w:rFonts w:ascii="Arial;sans-serif" w:hAnsi="Arial;sans-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106">
              <w:r>
                <w:rPr>
                  <w:rStyle w:val="InternetLink"/>
                  <w:rFonts w:ascii="Arial;sans-serif" w:hAnsi="Arial;sans-serif"/>
                  <w:b w:val="false"/>
                  <w:strike w:val="false"/>
                  <w:dstrike w:val="false"/>
                  <w:color w:val="0000FF"/>
                  <w:sz w:val="20"/>
                  <w:u w:val="none"/>
                  <w:effect w:val="none"/>
                </w:rPr>
                <w:t>35</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109">
              <w:r>
                <w:rPr>
                  <w:rStyle w:val="InternetLink"/>
                  <w:rFonts w:ascii="Arial;sans-serif" w:hAnsi="Arial;sans-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109">
              <w:r>
                <w:rPr>
                  <w:rStyle w:val="InternetLink"/>
                  <w:rFonts w:ascii="Arial;sans-serif" w:hAnsi="Arial;sans-serif"/>
                  <w:b w:val="false"/>
                  <w:strike w:val="false"/>
                  <w:dstrike w:val="false"/>
                  <w:color w:val="0000FF"/>
                  <w:sz w:val="20"/>
                  <w:u w:val="none"/>
                  <w:effect w:val="none"/>
                </w:rPr>
                <w:t>36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112">
              <w:r>
                <w:rPr>
                  <w:rStyle w:val="InternetLink"/>
                  <w:rFonts w:ascii="Arial;sans-serif" w:hAnsi="Arial;sans-serif"/>
                  <w:b w:val="false"/>
                  <w:color w:val="0000FF"/>
                  <w:sz w:val="20"/>
                  <w:u w:val="single"/>
                </w:rPr>
                <w:t>Item 2. Unregistered Sales of Equity Securities, Use of Proceeds and Issuer Purchases of Equity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112">
              <w:r>
                <w:rPr>
                  <w:rStyle w:val="InternetLink"/>
                  <w:rFonts w:ascii="Arial;sans-serif" w:hAnsi="Arial;sans-serif"/>
                  <w:b w:val="false"/>
                  <w:strike w:val="false"/>
                  <w:dstrike w:val="false"/>
                  <w:color w:val="0000FF"/>
                  <w:sz w:val="20"/>
                  <w:u w:val="none"/>
                  <w:effect w:val="none"/>
                </w:rPr>
                <w:t>36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71071ec34b41d3b386a61ba213f292_115">
              <w:r>
                <w:rPr>
                  <w:rStyle w:val="InternetLink"/>
                  <w:rFonts w:ascii="Arial;sans-serif" w:hAnsi="Arial;sans-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115">
              <w:r>
                <w:rPr>
                  <w:rStyle w:val="InternetLink"/>
                  <w:rFonts w:ascii="Arial;sans-serif" w:hAnsi="Arial;sans-serif"/>
                  <w:b w:val="false"/>
                  <w:strike w:val="false"/>
                  <w:dstrike w:val="false"/>
                  <w:color w:val="0000FF"/>
                  <w:sz w:val="20"/>
                  <w:u w:val="none"/>
                  <w:effect w:val="none"/>
                </w:rPr>
                <w:t>36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118">
              <w:r>
                <w:rPr>
                  <w:rStyle w:val="InternetLink"/>
                  <w:rFonts w:ascii="Arial;sans-serif" w:hAnsi="Arial;sans-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118">
              <w:r>
                <w:rPr>
                  <w:rStyle w:val="InternetLink"/>
                  <w:rFonts w:ascii="Arial;sans-serif" w:hAnsi="Arial;sans-serif"/>
                  <w:b w:val="false"/>
                  <w:strike w:val="false"/>
                  <w:dstrike w:val="false"/>
                  <w:color w:val="0000FF"/>
                  <w:sz w:val="20"/>
                  <w:u w:val="none"/>
                  <w:effect w:val="none"/>
                </w:rPr>
                <w:t>36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c71071ec34b41d3b386a61ba213f292_118">
              <w:r>
                <w:rPr>
                  <w:rStyle w:val="InternetLink"/>
                  <w:rFonts w:ascii="Arial;sans-serif" w:hAnsi="Arial;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71071ec34b41d3b386a61ba213f292_121">
              <w:r>
                <w:rPr>
                  <w:rStyle w:val="InternetLink"/>
                  <w:rFonts w:ascii="Arial;sans-serif" w:hAnsi="Arial;sans-serif"/>
                  <w:b w:val="false"/>
                  <w:strike w:val="false"/>
                  <w:dstrike w:val="false"/>
                  <w:color w:val="0000FF"/>
                  <w:sz w:val="20"/>
                  <w:u w:val="none"/>
                  <w:effect w:val="non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CONDENSED CONSOLIDATED STATEMENTS OF OPERATIONS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AND COMPREHENSIVE INCOME (LOSS)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(Amounts in millions, except per share amounts)</w:t>
      </w:r>
    </w:p>
    <w:p>
      <w:pPr>
        <w:pStyle w:val="TextBody"/>
        <w:bidi w:val="0"/>
        <w:spacing w:before="0" w:after="0"/>
        <w:jc w:val="left"/>
        <w:rPr/>
      </w:pPr>
      <w:r>
        <w:rPr/>
      </w:r>
    </w:p>
    <w:tbl>
      <w:tblPr>
        <w:tblW w:w="9225" w:type="dxa"/>
        <w:jc w:val="left"/>
        <w:tblInd w:w="0" w:type="dxa"/>
        <w:tblLayout w:type="fixed"/>
        <w:tblCellMar>
          <w:top w:w="28" w:type="dxa"/>
          <w:left w:w="28" w:type="dxa"/>
          <w:bottom w:w="28" w:type="dxa"/>
          <w:right w:w="28" w:type="dxa"/>
        </w:tblCellMar>
      </w:tblPr>
      <w:tblGrid>
        <w:gridCol w:w="1568"/>
        <w:gridCol w:w="1376"/>
        <w:gridCol w:w="1391"/>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 June 30,</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Non-operating expenses: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extinguishment and modification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COMPREHENSIVE INCOME (LOSS)</w:t>
      </w:r>
    </w:p>
    <w:tbl>
      <w:tblPr>
        <w:tblW w:w="8759" w:type="dxa"/>
        <w:jc w:val="left"/>
        <w:tblInd w:w="0" w:type="dxa"/>
        <w:tblLayout w:type="fixed"/>
        <w:tblCellMar>
          <w:top w:w="28" w:type="dxa"/>
          <w:left w:w="28" w:type="dxa"/>
          <w:bottom w:w="28" w:type="dxa"/>
          <w:right w:w="28" w:type="dxa"/>
        </w:tblCellMar>
      </w:tblPr>
      <w:tblGrid>
        <w:gridCol w:w="1665"/>
        <w:gridCol w:w="1463"/>
        <w:gridCol w:w="1476"/>
        <w:gridCol w:w="220"/>
        <w:gridCol w:w="502"/>
        <w:gridCol w:w="113"/>
        <w:gridCol w:w="113"/>
        <w:gridCol w:w="113"/>
        <w:gridCol w:w="113"/>
        <w:gridCol w:w="220"/>
        <w:gridCol w:w="392"/>
        <w:gridCol w:w="113"/>
        <w:gridCol w:w="109"/>
        <w:gridCol w:w="109"/>
        <w:gridCol w:w="109"/>
        <w:gridCol w:w="211"/>
        <w:gridCol w:w="481"/>
        <w:gridCol w:w="109"/>
        <w:gridCol w:w="109"/>
        <w:gridCol w:w="109"/>
        <w:gridCol w:w="109"/>
        <w:gridCol w:w="211"/>
        <w:gridCol w:w="436"/>
        <w:gridCol w:w="154"/>
      </w:tblGrid>
      <w:tr>
        <w:trPr/>
        <w:tc>
          <w:tcPr>
            <w:tcW w:w="166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Pension and postretirement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financial instruments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 net of tax</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comprehensive income (loss)</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121</w:t>
            </w:r>
            <w:r>
              <w:rPr>
                <w:color w:val="000000"/>
              </w:rPr>
              <w:t>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(Amounts in millions, except par values)</w:t>
      </w:r>
    </w:p>
    <w:tbl>
      <w:tblPr>
        <w:tblW w:w="10205" w:type="dxa"/>
        <w:jc w:val="left"/>
        <w:tblInd w:w="0" w:type="dxa"/>
        <w:tblLayout w:type="fixed"/>
        <w:tblCellMar>
          <w:top w:w="28" w:type="dxa"/>
          <w:left w:w="28" w:type="dxa"/>
          <w:bottom w:w="28" w:type="dxa"/>
          <w:right w:w="28" w:type="dxa"/>
        </w:tblCellMar>
      </w:tblPr>
      <w:tblGrid>
        <w:gridCol w:w="2835"/>
        <w:gridCol w:w="2354"/>
        <w:gridCol w:w="2381"/>
        <w:gridCol w:w="211"/>
        <w:gridCol w:w="751"/>
        <w:gridCol w:w="109"/>
        <w:gridCol w:w="109"/>
        <w:gridCol w:w="109"/>
        <w:gridCol w:w="109"/>
        <w:gridCol w:w="233"/>
        <w:gridCol w:w="831"/>
        <w:gridCol w:w="173"/>
      </w:tblGrid>
      <w:tr>
        <w:trPr/>
        <w:tc>
          <w:tcPr>
            <w:tcW w:w="2835"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987</w:t>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1,281</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w:t>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2,708</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1,209</w:t>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3,101</w:t>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1,634</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w:t>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785</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11,061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10,715</w:t>
            </w: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1,464</w:t>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debt and current portion of long-term debt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2,525</w:t>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4,543</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w:t>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8,324</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Commitments and contingencies (</w:t>
            </w:r>
            <w:r>
              <w:rPr>
                <w:rFonts w:ascii="Arial;sans-serif" w:hAnsi="Arial;sans-serif"/>
                <w:b w:val="false"/>
                <w:i/>
                <w:color w:val="000000"/>
                <w:sz w:val="20"/>
              </w:rPr>
              <w:t>Footnote 14</w:t>
            </w:r>
            <w:r>
              <w:rPr>
                <w:rFonts w:ascii="Arial;sans-serif" w:hAnsi="Arial;sans-serif"/>
                <w:b w:val="false"/>
                <w:color w:val="000000"/>
                <w:sz w:val="20"/>
              </w:rPr>
              <w: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Stockholders’ equity:</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(10.0 authorized shares, $1.00 par value, no shares issued at June 30, 2026 and December 31, 2025)</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(800.0 authorized shares, $1.00 par value, 457.3 shares and 447.1 shares issued at June 30, 2026 and December 31, 2025,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Treasury stock, at cost (31.9 shares and 27.9 shares at June 30, 2026 and December 31, 2025,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Retained deficit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11,061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10,715</w:t>
            </w:r>
            <w:r>
              <w:rPr>
                <w:color w:val="000000"/>
              </w:rPr>
              <w:t>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left"/>
        <w:rPr/>
      </w:pPr>
      <w:r>
        <w:rPr/>
      </w:r>
    </w:p>
    <w:tbl>
      <w:tblPr>
        <w:tblW w:w="8767" w:type="dxa"/>
        <w:jc w:val="left"/>
        <w:tblInd w:w="0" w:type="dxa"/>
        <w:tblLayout w:type="fixed"/>
        <w:tblCellMar>
          <w:top w:w="28" w:type="dxa"/>
          <w:left w:w="28" w:type="dxa"/>
          <w:bottom w:w="28" w:type="dxa"/>
          <w:right w:w="28" w:type="dxa"/>
        </w:tblCellMar>
      </w:tblPr>
      <w:tblGrid>
        <w:gridCol w:w="2453"/>
        <w:gridCol w:w="2157"/>
        <w:gridCol w:w="2170"/>
        <w:gridCol w:w="211"/>
        <w:gridCol w:w="481"/>
        <w:gridCol w:w="109"/>
        <w:gridCol w:w="109"/>
        <w:gridCol w:w="109"/>
        <w:gridCol w:w="109"/>
        <w:gridCol w:w="215"/>
        <w:gridCol w:w="490"/>
        <w:gridCol w:w="154"/>
      </w:tblGrid>
      <w:tr>
        <w:trPr/>
        <w:tc>
          <w:tcPr>
            <w:tcW w:w="245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Adjustments to reconcile net income to net cash used in operating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based compensation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extinguishment and modification of debt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Changes in operating accounts: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liabilities and other,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(271)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settlement of swaps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investing activities,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short-term debt,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on current portion of long-term debt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proceeds from issuance of long-term debt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extinguishment and modification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dividends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financing activities,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382</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Exchange rate effect on cash, cash equivalents and restricted cash</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 in cash, cash equivalents and restricted cash</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242</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disclosures: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Restricted cash at beginning of period </w:t>
            </w:r>
            <w:r>
              <w:rPr>
                <w:rFonts w:ascii="Arial;sans-serif" w:hAnsi="Arial;sans-serif"/>
                <w:b w:val="false"/>
                <w:i/>
                <w:color w:val="000000"/>
                <w:sz w:val="20"/>
              </w:rPr>
              <w:t>(Footnote 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Restricted cash at end of period </w:t>
            </w:r>
            <w:r>
              <w:rPr>
                <w:rFonts w:ascii="Arial;sans-serif" w:hAnsi="Arial;sans-serif"/>
                <w:b w:val="false"/>
                <w:i/>
                <w:color w:val="000000"/>
                <w:sz w:val="20"/>
              </w:rPr>
              <w:t>(Footnote 1)</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 OF STOCKHOLDERS’ EQUITY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(Amounts in millions,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2"/>
        <w:gridCol w:w="524"/>
        <w:gridCol w:w="466"/>
        <w:gridCol w:w="211"/>
        <w:gridCol w:w="481"/>
        <w:gridCol w:w="109"/>
        <w:gridCol w:w="109"/>
        <w:gridCol w:w="109"/>
        <w:gridCol w:w="109"/>
        <w:gridCol w:w="211"/>
        <w:gridCol w:w="494"/>
        <w:gridCol w:w="109"/>
        <w:gridCol w:w="109"/>
        <w:gridCol w:w="109"/>
        <w:gridCol w:w="109"/>
        <w:gridCol w:w="248"/>
        <w:gridCol w:w="744"/>
        <w:gridCol w:w="128"/>
        <w:gridCol w:w="109"/>
        <w:gridCol w:w="109"/>
        <w:gridCol w:w="109"/>
        <w:gridCol w:w="248"/>
        <w:gridCol w:w="765"/>
        <w:gridCol w:w="128"/>
        <w:gridCol w:w="109"/>
        <w:gridCol w:w="109"/>
        <w:gridCol w:w="109"/>
        <w:gridCol w:w="414"/>
        <w:gridCol w:w="946"/>
        <w:gridCol w:w="215"/>
        <w:gridCol w:w="109"/>
        <w:gridCol w:w="109"/>
        <w:gridCol w:w="109"/>
        <w:gridCol w:w="256"/>
        <w:gridCol w:w="767"/>
        <w:gridCol w:w="194"/>
      </w:tblGrid>
      <w:tr>
        <w:trPr/>
        <w:tc>
          <w:tcPr>
            <w:tcW w:w="9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Stockholders’ Equity</w:t>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 at March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6,781 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(3,260)</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(974)</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2,342 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Dividends declared on common stock - $0.07 per share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net of tax</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6,769</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(3,154)</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(959)</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2,451</w:t>
            </w:r>
            <w:r>
              <w:rPr>
                <w:color w:val="000000"/>
              </w:rPr>
              <w:t>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(990)</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Dividends declared on common stock - $0.14 per share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net of tax</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457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(662)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6,769</w:t>
            </w: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(3,154)</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(959)</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2,451</w:t>
            </w:r>
            <w:r>
              <w:rPr>
                <w:color w:val="000000"/>
              </w:rPr>
              <w:t>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6"/>
        <w:gridCol w:w="543"/>
        <w:gridCol w:w="486"/>
        <w:gridCol w:w="211"/>
        <w:gridCol w:w="481"/>
        <w:gridCol w:w="109"/>
        <w:gridCol w:w="109"/>
        <w:gridCol w:w="109"/>
        <w:gridCol w:w="109"/>
        <w:gridCol w:w="211"/>
        <w:gridCol w:w="495"/>
        <w:gridCol w:w="109"/>
        <w:gridCol w:w="109"/>
        <w:gridCol w:w="109"/>
        <w:gridCol w:w="109"/>
        <w:gridCol w:w="252"/>
        <w:gridCol w:w="754"/>
        <w:gridCol w:w="130"/>
        <w:gridCol w:w="109"/>
        <w:gridCol w:w="109"/>
        <w:gridCol w:w="109"/>
        <w:gridCol w:w="251"/>
        <w:gridCol w:w="776"/>
        <w:gridCol w:w="129"/>
        <w:gridCol w:w="109"/>
        <w:gridCol w:w="109"/>
        <w:gridCol w:w="109"/>
        <w:gridCol w:w="327"/>
        <w:gridCol w:w="979"/>
        <w:gridCol w:w="169"/>
        <w:gridCol w:w="109"/>
        <w:gridCol w:w="109"/>
        <w:gridCol w:w="109"/>
        <w:gridCol w:w="259"/>
        <w:gridCol w:w="776"/>
        <w:gridCol w:w="197"/>
      </w:tblGrid>
      <w:tr>
        <w:trPr/>
        <w:tc>
          <w:tcPr>
            <w:tcW w:w="92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Stockholders’ Equity</w:t>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 at March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6,847 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(2,979)</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(984)</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Dividends declared on common stock - $0.07 per share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net of tax</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6,834</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(2,933)</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(1,014)</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2,692</w:t>
            </w:r>
            <w:r>
              <w:rPr>
                <w:color w:val="000000"/>
              </w:rPr>
              <w:t>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Dividends declared on common stock - $0.14 per share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net of tax</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445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6,834</w:t>
            </w: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(2,933)</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(1,014)</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2,692</w:t>
            </w:r>
            <w:r>
              <w:rPr>
                <w:color w:val="000000"/>
              </w:rPr>
              <w:t>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NEWELL BRANDS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Footnote 1 — Basis of Presentation and Significant Accounting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Description of Business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Newell Brands Inc.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more than 45 of these countries, excluding third-party distributors. The Company has three operating segments: Home and Commercial Solutions (“H&amp;CS”), </w:t>
      </w:r>
      <w:r>
        <w:rPr>
          <w:rFonts w:ascii="Arial;sans-serif" w:hAnsi="Arial;sans-serif"/>
          <w:b w:val="false"/>
          <w:color w:val="000000"/>
          <w:sz w:val="20"/>
          <w:shd w:fill="FFFFFF" w:val="clear"/>
        </w:rPr>
        <w:t>Learning and Development (“L&amp;D”) and Outdoor and Recreation (“O&amp;R”).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of Newell Brands Inc. (collectively with its subsidiaries, the “Company”) have been prepared pursuant to the rules and regulations of the United States (“U.S.”) Securities and Exchange Commission (the “SEC”) and do not include all of the information and footnotes required by U.S. generally accepted accounting principles (“U.S. GAAP”) for complete financial statements. In the opinion of management, the unaudited condensed consolidated financial statements include all adjustments (including normal recurring accruals) considered necessary for a fair statement of the financial position and the results of operations of the Company. These unaudited condensed consolidated financial statements should be read in conjunction with the financial statements, and the footnotes thereto, included in the Company’s most recent Annual Report on Form 10-K. The Condensed Consolidated Balance Sheet at December 31, 2025 has been derived from the audited financial statements as of that date, but it does not include all the information and footnotes required by U.S. GAAP for a complete financial statement. Certain prior year amounts have been reclassified to conform to the current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Use of Estimates and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Management’s application of U.S. GAAP in preparing the Company’s condensed consolidated financial statements requires the pervasive use of estimates and assumptions. The Company continues to be impacted by inflationary pressures, soft global demand, major retailers’ focus on tight control over their inventory levels, fluctuating interest rates and indirect macroeconomic impacts from geopolitical conflicts as well as the effects of existing and potential changes in global trade policies, including tariffs and related retaliatory measures.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Despite the U.S. Supreme Court’s invalidation of tariffs imposed under the International Emergency Economic Powers Act (“IEEPA”), the Company continues to operate in a highly uncertain trade environment. Uncertainty persists regarding the potential long-term replacement of IEEPA tariffs and the scope and duration of any such replacement and U.S. tariffs generally, as well as the risk of retaliatory actions by other countries and the evolving legal landscape. In addition, the Company continues to experience increases in resin and transportation costs, driven largely by higher oil prices in light of the conflict in the Middle East. The Company continues to consider mitigating actions to offset the impact of tariff exposure and inflation, including oil price volatility, which include pricing, productivity initiatives, sourcing diversification and in some cases relocation of manufacturing. These collective macroeconomic trends, the duration or severity of which are highly uncertain and some of which, such as the price of oil, are more volatile than others, are still changing the retail and consumer landscape and continue to negatively impact the Company’s operating results, cash flows and financial condition, and are to some degree expected to persist into the remainder of the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consumers continue to face widespread increases in prices and fluctuating interest rates, their discretionary spending and purchase patterns may continue to be unfavorably impacted. The Company will continue to monitor these macroeconomic trends and assess whether any of them become more sustained and therefore permanent in nature. The high level of uncertainty of these factors has resulted in estimates and assumptions that have the potential for more variability and are more subjective. In addition, some of the other inherent estimates and assumptions used in the Company’s forecasted results of operations and cash flows that form the basis of the determination of the fair value of the reporting units for goodwill and indefinite-lived intangible asset impairment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are outside the control of management, including interest rates, cost of capital, tax rates, trade policies and tariffs, industry growth, credit ratings, foreign exchange rates, labor inflation and cost of oil. Although management has made its best estimates and assumptions based upon current information, actual results could materially differ given the uncertainty of these factors, especially if some of the recent inflationary pressures surrounding higher oil costs experience a sustained duration which may require future changes to such estimates and assumptions, including reserves, and which may result in future expense or impairment charges.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stock price has increased since its most recent annual impairment test, but the Company's market capitalization still remains less than its consolidated stockholders' equity. As previously disclosed by the Company, the goodwill related to the Company’s Commercial reporting unit and certain indefinite-lived tradenames in its H&amp;CS and L&amp;D segments have fair values within 10% of their associated carrying values based on the most recent annual impairment test performed in the fourth quarter of fiscal year 2025. If there are further declines in macroeconomic conditions, or industry and market conditions that may impact the current and forecasted financial performance of each reporting unit, or if the Company experiences a significant sustained decline in the Company's share price, the Company may need to record non-cash impairment charges, which could be material, in future periods.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Seasonal Variations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Sales of the Company’s products tend to be seasonal, with sales, operating income and operating cash flow in the first quarter generally lower than any other quarter during the year, driven principally by reduced volume and the mix of products sold in the first quarter. The seasonality of the Company’s sales volume combined with the accounting for fixed costs, such as depreciation, amortization, rent, personnel costs and interest expense, impacts the Company’s results on a quarterly basis. Also, the Company typically tends to generate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 In addition, uncertainty still remains over the volatility and direction of future consumer and customer demand patterns, as well as inflationary pressures inclusive of the impact of tariffs. Accordingly, the Company’s results of operations and cash flows for the three and six months ended June 30, 2026 may not necessarily be indicative of the results that may be expected for the year ending December 31,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to U.S. GAAP are established by the Financial Accounting Standards Board (“FASB”) in the form of accounting standards updates (“ASUs”) to the FASB’s Accounting Standards Codification (“ASC”). The Company considers the applicability and impact of recently issued and proposed ASUs.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September 2025, the FASB issued ASU No. 2025-06, “</w:t>
      </w:r>
      <w:r>
        <w:rPr>
          <w:rFonts w:ascii="Arial;sans-serif" w:hAnsi="Arial;sans-serif"/>
          <w:b w:val="false"/>
          <w:i/>
          <w:color w:val="000000"/>
          <w:sz w:val="20"/>
        </w:rPr>
        <w:t>Intangibles—Goodwill and Other—Internal-Use Software</w:t>
      </w:r>
      <w:r>
        <w:rPr>
          <w:rFonts w:ascii="Arial;sans-serif" w:hAnsi="Arial;sans-serif"/>
          <w:b w:val="false"/>
          <w:color w:val="000000"/>
          <w:sz w:val="20"/>
        </w:rPr>
        <w:t xml:space="preserve">.” This ASU establishes targeted enhancements to </w:t>
      </w:r>
      <w:r>
        <w:rPr>
          <w:rFonts w:ascii="Arial;sans-serif" w:hAnsi="Arial;sans-serif"/>
          <w:b w:val="false"/>
          <w:i/>
          <w:color w:val="000000"/>
          <w:sz w:val="20"/>
        </w:rPr>
        <w:t>Subtopic 350-40</w:t>
      </w:r>
      <w:r>
        <w:rPr>
          <w:color w:val="000000"/>
        </w:rPr>
        <w:t xml:space="preserve"> </w:t>
      </w:r>
      <w:r>
        <w:rPr>
          <w:rFonts w:ascii="Arial;sans-serif" w:hAnsi="Arial;sans-serif"/>
          <w:b w:val="false"/>
          <w:color w:val="000000"/>
          <w:sz w:val="20"/>
        </w:rPr>
        <w:t>improving the operability of the recognition guidance considering different methods of software development. The update is effective for annual reporting periods beginning after December 15, 2027. Early adoption is permitted. Management is currently evaluating the effects this guidance will have on its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September 2025, the FASB issued ASU No. 2025-07, </w:t>
      </w:r>
      <w:r>
        <w:rPr>
          <w:color w:val="000000"/>
        </w:rPr>
        <w:t>“</w:t>
      </w:r>
      <w:r>
        <w:rPr>
          <w:rFonts w:ascii="Arial;sans-serif" w:hAnsi="Arial;sans-serif"/>
          <w:b w:val="false"/>
          <w:i/>
          <w:color w:val="000000"/>
          <w:sz w:val="20"/>
        </w:rPr>
        <w:t>Derivatives and Hedging (Topic 815) and Revenue from Contracts with Customers (Topic 606).”</w:t>
      </w:r>
      <w:r>
        <w:rPr>
          <w:color w:val="000000"/>
        </w:rPr>
        <w:t xml:space="preserve"> </w:t>
      </w:r>
      <w:r>
        <w:rPr>
          <w:rFonts w:ascii="Arial;sans-serif" w:hAnsi="Arial;sans-serif"/>
          <w:b w:val="false"/>
          <w:color w:val="000000"/>
          <w:sz w:val="20"/>
        </w:rPr>
        <w:t>The amendments in the ASU exclude from derivative accounting non-exchange-traded contracts with underlying components that are based on operations or activities specific to one of the parties to the contract. This update is effective for annual reporting periods beginning after December 15, 2026. Early adoption is permitted. Management is currently evaluating the effects this guidance will have on its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November 2024, the FASB issued ASU No. 2024-03, “</w:t>
      </w:r>
      <w:r>
        <w:rPr>
          <w:rFonts w:ascii="Arial;sans-serif" w:hAnsi="Arial;sans-serif"/>
          <w:b w:val="false"/>
          <w:i/>
          <w:color w:val="000000"/>
          <w:sz w:val="20"/>
        </w:rPr>
        <w:t>Income Statement - Reporting Comprehensive Income - Expense Disaggregation Disclosures</w:t>
      </w:r>
      <w:r>
        <w:rPr>
          <w:rFonts w:ascii="Arial;sans-serif" w:hAnsi="Arial;sans-serif"/>
          <w:b w:val="false"/>
          <w:color w:val="000000"/>
          <w:sz w:val="20"/>
        </w:rPr>
        <w:t>.” This ASU requires that each interim and annual reporting period, an entity disclose more information about the components of certain expense captions that are currently disclosed in the financial statements. This update is effective for annual reporting periods beginning after December 15, 2026. Early adoption is permitted. Management is currently evaluating the effects this guidance will have on its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Sales of Accounts Receivable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maintains a factoring agreement with a financial institution to sell certain customer receivables (the “Customer Receivables Purchase Agreement”) up to $700 million of eligible accounts receivable. During the six months ended June 30, 2026 and 2025, the Company factored receivables pursuant to the Customer Receivables Purchase Agreement. The following table sets forth proceeds and amount collected from customers and remitted to the financial institution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59"/>
        <w:gridCol w:w="1544"/>
        <w:gridCol w:w="1550"/>
        <w:gridCol w:w="287"/>
        <w:gridCol w:w="637"/>
        <w:gridCol w:w="148"/>
        <w:gridCol w:w="148"/>
        <w:gridCol w:w="148"/>
        <w:gridCol w:w="148"/>
        <w:gridCol w:w="287"/>
        <w:gridCol w:w="637"/>
        <w:gridCol w:w="148"/>
        <w:gridCol w:w="109"/>
        <w:gridCol w:w="109"/>
        <w:gridCol w:w="109"/>
        <w:gridCol w:w="228"/>
        <w:gridCol w:w="668"/>
        <w:gridCol w:w="117"/>
        <w:gridCol w:w="117"/>
        <w:gridCol w:w="117"/>
        <w:gridCol w:w="117"/>
        <w:gridCol w:w="228"/>
        <w:gridCol w:w="668"/>
        <w:gridCol w:w="177"/>
      </w:tblGrid>
      <w:tr>
        <w:trPr/>
        <w:tc>
          <w:tcPr>
            <w:tcW w:w="175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received</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Collected from customers and remitted to financial institution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Outstanding receivables sold under the Customer Receivables Purchase Agreement at June 30, 2026 and December 31, 2025 were approximately $370 million and $270 million,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Company, through a wholly-owned special purpose entity (“SPE”), has a three-year factoring agreement with a financial institution to sell certain customer receivables up to $225 million, between February and April of each year, and up to $275 million at all other times, of eligible accounts receivable without recourse on a revolving basis (the “Receivables Facility”). Under the Receivables Facility, certain of the Company’s subsidiaries continuously sell their accounts receivables, originated in the U.S., to the SPE, which then sells the receivables to the financial institution. The SPE is a variable interest entity for which the Company is considered to be the primary beneficiary. The SPE’s sole business consists of the purchase of receivables from certain subsidiaries of the Company and the subsequent transfer of such receivables to the financial institution. Although the SPE is included in the Company’s condensed consolidated financial statements, it is a separate legal entity with separate creditors. The assets of the SPE are not available to pay creditors of the Company or its subsidiaries. The fair value of these servicing arrangements as well as the fees earned was immaterial. During the six months ended June 30, 2026 and 2025, the Company factored receivables pursuant to the Receivables Facility. The following table sets forth proceeds and amount collected from customers and remitted to the financial institution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61"/>
        <w:gridCol w:w="1546"/>
        <w:gridCol w:w="1552"/>
        <w:gridCol w:w="288"/>
        <w:gridCol w:w="637"/>
        <w:gridCol w:w="148"/>
        <w:gridCol w:w="148"/>
        <w:gridCol w:w="148"/>
        <w:gridCol w:w="148"/>
        <w:gridCol w:w="288"/>
        <w:gridCol w:w="637"/>
        <w:gridCol w:w="148"/>
        <w:gridCol w:w="109"/>
        <w:gridCol w:w="109"/>
        <w:gridCol w:w="109"/>
        <w:gridCol w:w="263"/>
        <w:gridCol w:w="581"/>
        <w:gridCol w:w="135"/>
        <w:gridCol w:w="135"/>
        <w:gridCol w:w="135"/>
        <w:gridCol w:w="135"/>
        <w:gridCol w:w="263"/>
        <w:gridCol w:w="581"/>
        <w:gridCol w:w="201"/>
      </w:tblGrid>
      <w:tr>
        <w:trPr/>
        <w:tc>
          <w:tcPr>
            <w:tcW w:w="176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received</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Collected from customers and remitted to financial institution</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Outstanding receivables sold under the Receivables Facility at June 30, 2026 and December 31, 2025 were approximately $140 million and $125 million,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Generally, for a receivable to be eligible under either program, the Company must have fulfilled its performance obligations and be contractually entitled to payment for such, based on a valid receivable that is not past due at the time of factoring the underlying receivable. The Company accounts for receivables sold to the financial institutions under both factoring agreements as a sale of financial assets and derecognizes the trade receivables from the Company’s Condensed Consolidated Balance Sheets. The Company classifies the proceeds received from the sales of accounts receivable to the financial institutions as an operating cash flow and collections of accounts receivables not yet remitted to the financial institutions as financing cash flow in the Condensed Consolidated Statements of Cash Flows, and such collections are classified as restricted cash (included in prepaid expenses and other current assets) on the Company’s Condensed Consolidated Balance Sheets. Restricted cash related to both programs was $24 million and $17 million at June 30, 2026 and December 31, 2025, respectively. The Company records the discounts as other expense, net in the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Supplier Finance Program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an arrangement with a third-party vendor which provides a service for the Company’s suppliers, at their sole discretion, to sell their receivables due from the Company to various financial institutions, who at their sole discretion, contract with the third-party vendor to participate in the supplier finance program (the “SF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and its suppliers agree on contractual terms for the goods and services procured, including prices, quantities and payment terms, regardless of whether the supplier elects to participate in the SF Program. The suppliers sell goods or services, as applicable, to the Company and issue the associated invoices to the Company based on the agreed-upon contractual terms. Suppliers that participate in the SF Program, at their sole discretion, determine which invoices, if any, they want to sell to the third-party vendor. The suppliers’ voluntary inclusion of invoices in the SF Program does not change the Company’s existing contractual terms with its suppliers. The Company does not provide any guarantees or collateral under the SF Program, nor does it have any economic interest in a supplier’s decision to participate in the SF Program. Amounts due to suppliers participating in the SF Program are included in accounts payable in the Condensed Consolidated Balance Sheets and amounts paid to suppliers participating in the SF Program are classified as operating cash flows in the Condensed Consolidated Statement of Cash Flows. Supplier payment terms for those participating in the SF Program averaged approximately 119 days.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the outstanding payment obligations due to the third-party vendor and activities related to the suppliers who participated in the SF Program (in millions):</w:t>
      </w:r>
    </w:p>
    <w:p>
      <w:pPr>
        <w:pStyle w:val="TextBody"/>
        <w:bidi w:val="0"/>
        <w:spacing w:before="0" w:after="0"/>
        <w:jc w:val="both"/>
        <w:rPr/>
      </w:pPr>
      <w:r>
        <w:rPr/>
      </w:r>
    </w:p>
    <w:tbl>
      <w:tblPr>
        <w:tblW w:w="4683" w:type="dxa"/>
        <w:jc w:val="left"/>
        <w:tblInd w:w="0" w:type="dxa"/>
        <w:tblLayout w:type="fixed"/>
        <w:tblCellMar>
          <w:top w:w="28" w:type="dxa"/>
          <w:left w:w="28" w:type="dxa"/>
          <w:bottom w:w="28" w:type="dxa"/>
          <w:right w:w="28" w:type="dxa"/>
        </w:tblCellMar>
      </w:tblPr>
      <w:tblGrid>
        <w:gridCol w:w="1310"/>
        <w:gridCol w:w="1150"/>
        <w:gridCol w:w="1155"/>
        <w:gridCol w:w="109"/>
        <w:gridCol w:w="109"/>
        <w:gridCol w:w="109"/>
        <w:gridCol w:w="211"/>
        <w:gridCol w:w="37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Invoices participating in the SF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Invoices paid to the third-party vendor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Fair Value Measurements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Company’s financial instruments include cash and cash equivalents, accounts receivable, investment securities, accounts payable, derivative instruments and short and long-term debt. The carrying values for current financial assets and liabilities, including cash and cash equivalents, accounts receivable, accounts payable and short-term debt approximate fair value due to the short maturity of such instruments. For publicly traded investment securities, including mutual funds, fair value is determined on the basis of quoted market prices and, accordingly, such investments are classified as Level 1 of the fair value hierarchy. The fair value of such investments was $114 million and $81 million at June 30, 2026 and December 31, 2025, respectively. The fair values of the Company’s long-term debt and derivative instruments are disclosed in </w:t>
      </w:r>
      <w:r>
        <w:rPr>
          <w:rFonts w:ascii="Arial;sans-serif" w:hAnsi="Arial;sans-serif"/>
          <w:b w:val="false"/>
          <w:i/>
          <w:color w:val="000000"/>
          <w:sz w:val="20"/>
        </w:rPr>
        <w:t>Footnote 8</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Footnote 9</w:t>
      </w:r>
      <w:r>
        <w:rPr>
          <w:rFonts w:ascii="Arial;sans-serif" w:hAnsi="Arial;sans-serif"/>
          <w:b w:val="false"/>
          <w:color w:val="000000"/>
          <w:sz w:val="20"/>
        </w:rPr>
        <w:t>, respectively. The Company’s nonfinancial assets, which are measured at fair value on a nonrecurring basis, include property, plant and equipment, goodwill, intangible assets and certain other assets. In addition, the Company adjusts its pension asset values to fair value on an annual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Footnote 2 — Accumulated Other Comprehensive Income (Loss)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displays the changes in Accumulated Other Comprehensive Income (Loss) (“AOCL”) by component, net of tax, for the six months ended June 30, 2026 (in millions): </w:t>
      </w:r>
    </w:p>
    <w:tbl>
      <w:tblPr>
        <w:tblW w:w="10205" w:type="dxa"/>
        <w:jc w:val="left"/>
        <w:tblInd w:w="0" w:type="dxa"/>
        <w:tblLayout w:type="fixed"/>
        <w:tblCellMar>
          <w:top w:w="28" w:type="dxa"/>
          <w:left w:w="28" w:type="dxa"/>
          <w:bottom w:w="28" w:type="dxa"/>
          <w:right w:w="28" w:type="dxa"/>
        </w:tblCellMar>
      </w:tblPr>
      <w:tblGrid>
        <w:gridCol w:w="1789"/>
        <w:gridCol w:w="1570"/>
        <w:gridCol w:w="1580"/>
        <w:gridCol w:w="272"/>
        <w:gridCol w:w="622"/>
        <w:gridCol w:w="142"/>
        <w:gridCol w:w="109"/>
        <w:gridCol w:w="109"/>
        <w:gridCol w:w="109"/>
        <w:gridCol w:w="336"/>
        <w:gridCol w:w="766"/>
        <w:gridCol w:w="174"/>
        <w:gridCol w:w="109"/>
        <w:gridCol w:w="109"/>
        <w:gridCol w:w="109"/>
        <w:gridCol w:w="323"/>
        <w:gridCol w:w="575"/>
        <w:gridCol w:w="168"/>
        <w:gridCol w:w="109"/>
        <w:gridCol w:w="109"/>
        <w:gridCol w:w="109"/>
        <w:gridCol w:w="211"/>
        <w:gridCol w:w="540"/>
        <w:gridCol w:w="156"/>
      </w:tblGrid>
      <w:tr>
        <w:trPr/>
        <w:tc>
          <w:tcPr>
            <w:tcW w:w="178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Cumulative</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Derivative</w:t>
              <w:br/>
              <w:t>Financial</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AOCL</w:t>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(783)</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(990)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comprehensive income before reclassifications</w:t>
            </w:r>
            <w:r>
              <w:rPr>
                <w:color w:val="000000"/>
              </w:rPr>
              <w:t xml:space="preserve"> </w:t>
            </w:r>
            <w:r>
              <w:rPr>
                <w:rFonts w:ascii="Arial;sans-serif" w:hAnsi="Arial;sans-serif"/>
                <w:b w:val="false"/>
                <w:color w:val="000000"/>
                <w:sz w:val="13"/>
              </w:rPr>
              <w:t>(a)</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Amounts reclassified to earnings </w:t>
            </w:r>
            <w:r>
              <w:rPr>
                <w:rFonts w:ascii="Arial;sans-serif" w:hAnsi="Arial;sans-serif"/>
                <w:b w:val="false"/>
                <w:color w:val="000000"/>
                <w:sz w:val="13"/>
              </w:rPr>
              <w:t>(b)</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current period other comprehensive income</w:t>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(767)</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(186)</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(959)</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income tax provision (benefit) allocated to AOCL as follows $14 million, $(1) million, $1 million and $14 million, respectively.</w:t>
      </w:r>
    </w:p>
    <w:p>
      <w:pPr>
        <w:pStyle w:val="TextBody"/>
        <w:bidi w:val="0"/>
        <w:spacing w:lineRule="auto" w:line="288" w:before="0" w:after="0"/>
        <w:ind w:left="0" w:right="0" w:hanging="360"/>
        <w:jc w:val="both"/>
        <w:rPr/>
      </w:pPr>
      <w:r>
        <w:rPr>
          <w:rFonts w:ascii="Arial;sans-serif" w:hAnsi="Arial;sans-serif"/>
          <w:b w:val="false"/>
          <w:color w:val="000000"/>
          <w:sz w:val="16"/>
        </w:rPr>
        <w:t xml:space="preserve">(b)Income tax provision (benefit) for both the three and six months ended June 30, 2026 and 2025 were not material. Pension and postretirement costs presented are primarily classified in other expense, net within the Condensed Consolidated Statements of Operations. Refer to </w:t>
      </w:r>
      <w:r>
        <w:rPr>
          <w:rFonts w:ascii="Arial;sans-serif" w:hAnsi="Arial;sans-serif"/>
          <w:b w:val="false"/>
          <w:i/>
          <w:color w:val="000000"/>
          <w:sz w:val="16"/>
        </w:rPr>
        <w:t>Footnote 9</w:t>
      </w:r>
      <w:r>
        <w:rPr>
          <w:color w:val="000000"/>
        </w:rPr>
        <w:t xml:space="preserve"> </w:t>
      </w:r>
      <w:r>
        <w:rPr>
          <w:rFonts w:ascii="Arial;sans-serif" w:hAnsi="Arial;sans-serif"/>
          <w:b w:val="false"/>
          <w:color w:val="000000"/>
          <w:sz w:val="16"/>
        </w:rPr>
        <w:t>for the statements of operations classifications of the Company’s various types of derivative financial instruments.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Reclassifications from AOCL to the results of operations on a before and after-tax basis for the three and six months ended June 30, 2026 and 2025 were not material for any of the periods presented.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Footnote 3 — Restructuring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better align its resources with its strategy and operating model and to reduce the cost structure of its global operations, the Company commits to restructuring plans as necessary and as follows:</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i/>
          <w:color w:val="000000"/>
          <w:sz w:val="20"/>
          <w:shd w:fill="FFFFFF" w:val="clear"/>
        </w:rPr>
      </w:pPr>
      <w:r>
        <w:rPr>
          <w:rFonts w:ascii="Arial;sans-serif" w:hAnsi="Arial;sans-serif"/>
          <w:b/>
          <w:i/>
          <w:color w:val="000000"/>
          <w:sz w:val="20"/>
          <w:shd w:fill="FFFFFF" w:val="clear"/>
        </w:rPr>
        <w:t>Global Productivity Plan</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Building on the Company’s turnaround strategy, the Company announced a global productivity plan (the “Productivity Plan”) in December 2025 to further simplify processes, streamline overhead and redirect resources to the higher-value activities. As part of the Productivity Plan, the Company will reduce its global workforce by over 900 employees primarily within professional and clerical functions, with limited impact on manufacturing or supply chain operations. Professional and clerical employee separations in the U.S. were mostly executed by the end of 2025, with international actions expected to occur in 2026, subject to applicable local law and consultation requirements. In addition, the Company closed approximately 20 Yankee Candle stores in the U.S. and Canada in January 2026 as part of a retail optimization initiative aligned with modern consumer shopping behaviors and the Company's multi-channel strategy. The Company expects to record $75 million to $90 million of restructuring and restructuring-related charges in connection with the Productivity Plan, primarily for severance and associated costs, with most of the charges to be recognized by the end of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Productivity Plan, the Company recorded restructuring and restructuring-related costs for the periods indicated as follows (in millions):</w:t>
      </w:r>
    </w:p>
    <w:tbl>
      <w:tblPr>
        <w:tblW w:w="9110" w:type="dxa"/>
        <w:jc w:val="left"/>
        <w:tblInd w:w="0" w:type="dxa"/>
        <w:tblLayout w:type="fixed"/>
        <w:tblCellMar>
          <w:top w:w="28" w:type="dxa"/>
          <w:left w:w="28" w:type="dxa"/>
          <w:bottom w:w="28" w:type="dxa"/>
          <w:right w:w="28" w:type="dxa"/>
        </w:tblCellMar>
      </w:tblPr>
      <w:tblGrid>
        <w:gridCol w:w="890"/>
        <w:gridCol w:w="782"/>
        <w:gridCol w:w="787"/>
        <w:gridCol w:w="109"/>
        <w:gridCol w:w="109"/>
        <w:gridCol w:w="109"/>
        <w:gridCol w:w="436"/>
        <w:gridCol w:w="778"/>
        <w:gridCol w:w="226"/>
        <w:gridCol w:w="109"/>
        <w:gridCol w:w="109"/>
        <w:gridCol w:w="109"/>
        <w:gridCol w:w="549"/>
        <w:gridCol w:w="981"/>
        <w:gridCol w:w="285"/>
        <w:gridCol w:w="109"/>
        <w:gridCol w:w="109"/>
        <w:gridCol w:w="109"/>
        <w:gridCol w:w="686"/>
        <w:gridCol w:w="1225"/>
        <w:gridCol w:w="50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w:t>
              <w:b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Incurred since inception</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w:t>
            </w:r>
            <w:r>
              <w:rPr>
                <w:color w:val="000000"/>
              </w:rPr>
              <w:t> </w:t>
            </w:r>
          </w:p>
        </w:tc>
        <w:tc>
          <w:tcPr>
            <w:tcW w:w="5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i/>
          <w:color w:val="000000"/>
          <w:sz w:val="20"/>
        </w:rPr>
      </w:pPr>
      <w:r>
        <w:rPr>
          <w:rFonts w:ascii="Arial;sans-serif" w:hAnsi="Arial;sans-serif"/>
          <w:b/>
          <w:i/>
          <w:color w:val="000000"/>
          <w:sz w:val="20"/>
        </w:rPr>
        <w:t>Other Restructuring and Restructuring-Related Costs</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also incurs other restructuring and restructuring-related costs in connection with various discrete initiatives as well as previously announced but substantially completed restructuring activities. Restructuring-related costs are recorded in cost of products sold and selling, general and administrative expenses (“SG&amp;A”) in the Condensed Consolidated Statements of Operations based on the nature of the underlying charges incurred.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recorded restructuring costs, net and restructuring-related costs in connection with various discrete initiatives as well as previously announced but substantially completed restructuring activities for the periods indicated as follows (in millions):</w:t>
      </w:r>
    </w:p>
    <w:tbl>
      <w:tblPr>
        <w:tblW w:w="6736" w:type="dxa"/>
        <w:jc w:val="left"/>
        <w:tblInd w:w="0" w:type="dxa"/>
        <w:tblLayout w:type="fixed"/>
        <w:tblCellMar>
          <w:top w:w="28" w:type="dxa"/>
          <w:left w:w="28" w:type="dxa"/>
          <w:bottom w:w="28" w:type="dxa"/>
          <w:right w:w="28" w:type="dxa"/>
        </w:tblCellMar>
      </w:tblPr>
      <w:tblGrid>
        <w:gridCol w:w="890"/>
        <w:gridCol w:w="782"/>
        <w:gridCol w:w="787"/>
        <w:gridCol w:w="274"/>
        <w:gridCol w:w="352"/>
        <w:gridCol w:w="141"/>
        <w:gridCol w:w="141"/>
        <w:gridCol w:w="141"/>
        <w:gridCol w:w="141"/>
        <w:gridCol w:w="274"/>
        <w:gridCol w:w="489"/>
        <w:gridCol w:w="141"/>
        <w:gridCol w:w="109"/>
        <w:gridCol w:w="109"/>
        <w:gridCol w:w="109"/>
        <w:gridCol w:w="236"/>
        <w:gridCol w:w="303"/>
        <w:gridCol w:w="122"/>
        <w:gridCol w:w="122"/>
        <w:gridCol w:w="122"/>
        <w:gridCol w:w="122"/>
        <w:gridCol w:w="236"/>
        <w:gridCol w:w="421"/>
        <w:gridCol w:w="172"/>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 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Restructuring-related costs</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Total </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w:t>
            </w: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w:t>
            </w:r>
            <w:r>
              <w:rPr>
                <w:color w:val="000000"/>
              </w:rPr>
              <w:t>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Restructuring costs, net incurred by reportable business segments for all restructuring activities for the periods indicated are as follows (in millions): </w:t>
      </w:r>
    </w:p>
    <w:tbl>
      <w:tblPr>
        <w:tblW w:w="7244" w:type="dxa"/>
        <w:jc w:val="left"/>
        <w:tblInd w:w="0" w:type="dxa"/>
        <w:tblLayout w:type="fixed"/>
        <w:tblCellMar>
          <w:top w:w="28" w:type="dxa"/>
          <w:left w:w="28" w:type="dxa"/>
          <w:bottom w:w="28" w:type="dxa"/>
          <w:right w:w="28" w:type="dxa"/>
        </w:tblCellMar>
      </w:tblPr>
      <w:tblGrid>
        <w:gridCol w:w="1076"/>
        <w:gridCol w:w="945"/>
        <w:gridCol w:w="948"/>
        <w:gridCol w:w="274"/>
        <w:gridCol w:w="489"/>
        <w:gridCol w:w="141"/>
        <w:gridCol w:w="141"/>
        <w:gridCol w:w="141"/>
        <w:gridCol w:w="141"/>
        <w:gridCol w:w="274"/>
        <w:gridCol w:w="352"/>
        <w:gridCol w:w="141"/>
        <w:gridCol w:w="109"/>
        <w:gridCol w:w="109"/>
        <w:gridCol w:w="109"/>
        <w:gridCol w:w="222"/>
        <w:gridCol w:w="396"/>
        <w:gridCol w:w="114"/>
        <w:gridCol w:w="114"/>
        <w:gridCol w:w="114"/>
        <w:gridCol w:w="114"/>
        <w:gridCol w:w="222"/>
        <w:gridCol w:w="396"/>
        <w:gridCol w:w="162"/>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 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w:t>
            </w:r>
            <w:r>
              <w:rPr>
                <w:color w:val="000000"/>
              </w:rPr>
              <w:t>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Accrued restructuring costs related to all restructuring activities for the six months ended June 30, 2026 were as follows (in millions): </w:t>
      </w:r>
    </w:p>
    <w:p>
      <w:pPr>
        <w:pStyle w:val="TextBody"/>
        <w:bidi w:val="0"/>
        <w:spacing w:before="0" w:after="0"/>
        <w:jc w:val="both"/>
        <w:rPr/>
      </w:pPr>
      <w:r>
        <w:rPr/>
      </w:r>
    </w:p>
    <w:tbl>
      <w:tblPr>
        <w:tblW w:w="3873" w:type="dxa"/>
        <w:jc w:val="left"/>
        <w:tblInd w:w="0" w:type="dxa"/>
        <w:tblLayout w:type="fixed"/>
        <w:tblCellMar>
          <w:top w:w="28" w:type="dxa"/>
          <w:left w:w="28" w:type="dxa"/>
          <w:bottom w:w="28" w:type="dxa"/>
          <w:right w:w="28" w:type="dxa"/>
        </w:tblCellMar>
      </w:tblPr>
      <w:tblGrid>
        <w:gridCol w:w="1015"/>
        <w:gridCol w:w="892"/>
        <w:gridCol w:w="898"/>
        <w:gridCol w:w="109"/>
        <w:gridCol w:w="109"/>
        <w:gridCol w:w="109"/>
        <w:gridCol w:w="211"/>
        <w:gridCol w:w="37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4 — Inventories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Inventories are comprised of the following (in millions): </w:t>
      </w:r>
    </w:p>
    <w:tbl>
      <w:tblPr>
        <w:tblW w:w="6087" w:type="dxa"/>
        <w:jc w:val="left"/>
        <w:tblInd w:w="0" w:type="dxa"/>
        <w:tblLayout w:type="fixed"/>
        <w:tblCellMar>
          <w:top w:w="28" w:type="dxa"/>
          <w:left w:w="28" w:type="dxa"/>
          <w:bottom w:w="28" w:type="dxa"/>
          <w:right w:w="28" w:type="dxa"/>
        </w:tblCellMar>
      </w:tblPr>
      <w:tblGrid>
        <w:gridCol w:w="908"/>
        <w:gridCol w:w="796"/>
        <w:gridCol w:w="801"/>
        <w:gridCol w:w="298"/>
        <w:gridCol w:w="913"/>
        <w:gridCol w:w="154"/>
        <w:gridCol w:w="109"/>
        <w:gridCol w:w="109"/>
        <w:gridCol w:w="109"/>
        <w:gridCol w:w="393"/>
        <w:gridCol w:w="1207"/>
        <w:gridCol w:w="290"/>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 and supplies</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products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1,491</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w:t>
            </w:r>
            <w:r>
              <w:rPr>
                <w:color w:val="000000"/>
              </w:rPr>
              <w:t> </w:t>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5 — Property, Plant and Equipment, Net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Property, plant and equipment, net, is comprised of the following (in millions): </w:t>
      </w:r>
    </w:p>
    <w:tbl>
      <w:tblPr>
        <w:tblW w:w="6492" w:type="dxa"/>
        <w:jc w:val="left"/>
        <w:tblInd w:w="0" w:type="dxa"/>
        <w:tblLayout w:type="fixed"/>
        <w:tblCellMar>
          <w:top w:w="28" w:type="dxa"/>
          <w:left w:w="28" w:type="dxa"/>
          <w:bottom w:w="28" w:type="dxa"/>
          <w:right w:w="28" w:type="dxa"/>
        </w:tblCellMar>
      </w:tblPr>
      <w:tblGrid>
        <w:gridCol w:w="1053"/>
        <w:gridCol w:w="924"/>
        <w:gridCol w:w="933"/>
        <w:gridCol w:w="298"/>
        <w:gridCol w:w="913"/>
        <w:gridCol w:w="154"/>
        <w:gridCol w:w="109"/>
        <w:gridCol w:w="109"/>
        <w:gridCol w:w="109"/>
        <w:gridCol w:w="393"/>
        <w:gridCol w:w="1207"/>
        <w:gridCol w:w="290"/>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(1,044)</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1,175</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1,209</w:t>
            </w:r>
            <w:r>
              <w:rPr>
                <w:color w:val="000000"/>
              </w:rPr>
              <w:t> </w:t>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Depreciation expense was $47 million for each of the three months ended June 30, 2026 and 2025 and $93 million and $90 million for the six months ended June 30, 2026 and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6 — Goodwill and Other Intangible Assets,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Goodwill activity for the six months ended June 30, 2026 is as follows (in millions): </w:t>
      </w:r>
    </w:p>
    <w:tbl>
      <w:tblPr>
        <w:tblW w:w="10205" w:type="dxa"/>
        <w:jc w:val="left"/>
        <w:tblInd w:w="0" w:type="dxa"/>
        <w:tblLayout w:type="fixed"/>
        <w:tblCellMar>
          <w:top w:w="28" w:type="dxa"/>
          <w:left w:w="28" w:type="dxa"/>
          <w:bottom w:w="28" w:type="dxa"/>
          <w:right w:w="28" w:type="dxa"/>
        </w:tblCellMar>
      </w:tblPr>
      <w:tblGrid>
        <w:gridCol w:w="805"/>
        <w:gridCol w:w="662"/>
        <w:gridCol w:w="669"/>
        <w:gridCol w:w="109"/>
        <w:gridCol w:w="109"/>
        <w:gridCol w:w="109"/>
        <w:gridCol w:w="462"/>
        <w:gridCol w:w="1420"/>
        <w:gridCol w:w="241"/>
        <w:gridCol w:w="109"/>
        <w:gridCol w:w="109"/>
        <w:gridCol w:w="109"/>
        <w:gridCol w:w="109"/>
        <w:gridCol w:w="257"/>
        <w:gridCol w:w="495"/>
        <w:gridCol w:w="134"/>
        <w:gridCol w:w="109"/>
        <w:gridCol w:w="109"/>
        <w:gridCol w:w="109"/>
        <w:gridCol w:w="250"/>
        <w:gridCol w:w="767"/>
        <w:gridCol w:w="129"/>
        <w:gridCol w:w="109"/>
        <w:gridCol w:w="109"/>
        <w:gridCol w:w="109"/>
        <w:gridCol w:w="211"/>
        <w:gridCol w:w="646"/>
        <w:gridCol w:w="109"/>
        <w:gridCol w:w="109"/>
        <w:gridCol w:w="109"/>
        <w:gridCol w:w="109"/>
        <w:gridCol w:w="250"/>
        <w:gridCol w:w="767"/>
        <w:gridCol w:w="187"/>
      </w:tblGrid>
      <w:tr>
        <w:trPr/>
        <w:tc>
          <w:tcPr>
            <w:tcW w:w="80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June 30, 2026</w:t>
            </w:r>
          </w:p>
        </w:tc>
      </w:tr>
      <w:tr>
        <w:trPr/>
        <w:tc>
          <w:tcPr>
            <w:tcW w:w="2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Net Book Value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Foreign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Impairment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Charges</w:t>
            </w:r>
          </w:p>
        </w:tc>
      </w:tr>
      <w:tr>
        <w:trPr/>
        <w:tc>
          <w:tcPr>
            <w:tcW w:w="21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747</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(3,305)</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2,339</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3,101</w:t>
            </w:r>
            <w:r>
              <w:rPr>
                <w:color w:val="000000"/>
              </w:rPr>
              <w:t>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3,086</w:t>
            </w:r>
            <w:r>
              <w:rPr>
                <w:color w:val="000000"/>
              </w:rPr>
              <w:t>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8,266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(5,180)</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intangible assets, net, are comprised of the following (in millions):</w:t>
      </w:r>
    </w:p>
    <w:tbl>
      <w:tblPr>
        <w:tblW w:w="10205" w:type="dxa"/>
        <w:jc w:val="left"/>
        <w:tblInd w:w="0" w:type="dxa"/>
        <w:tblLayout w:type="fixed"/>
        <w:tblCellMar>
          <w:top w:w="28" w:type="dxa"/>
          <w:left w:w="28" w:type="dxa"/>
          <w:bottom w:w="28" w:type="dxa"/>
          <w:right w:w="28" w:type="dxa"/>
        </w:tblCellMar>
      </w:tblPr>
      <w:tblGrid>
        <w:gridCol w:w="686"/>
        <w:gridCol w:w="592"/>
        <w:gridCol w:w="595"/>
        <w:gridCol w:w="211"/>
        <w:gridCol w:w="646"/>
        <w:gridCol w:w="109"/>
        <w:gridCol w:w="109"/>
        <w:gridCol w:w="109"/>
        <w:gridCol w:w="109"/>
        <w:gridCol w:w="368"/>
        <w:gridCol w:w="842"/>
        <w:gridCol w:w="191"/>
        <w:gridCol w:w="109"/>
        <w:gridCol w:w="109"/>
        <w:gridCol w:w="109"/>
        <w:gridCol w:w="211"/>
        <w:gridCol w:w="646"/>
        <w:gridCol w:w="109"/>
        <w:gridCol w:w="109"/>
        <w:gridCol w:w="109"/>
        <w:gridCol w:w="109"/>
        <w:gridCol w:w="211"/>
        <w:gridCol w:w="646"/>
        <w:gridCol w:w="109"/>
        <w:gridCol w:w="109"/>
        <w:gridCol w:w="109"/>
        <w:gridCol w:w="109"/>
        <w:gridCol w:w="306"/>
        <w:gridCol w:w="699"/>
        <w:gridCol w:w="159"/>
        <w:gridCol w:w="109"/>
        <w:gridCol w:w="109"/>
        <w:gridCol w:w="109"/>
        <w:gridCol w:w="211"/>
        <w:gridCol w:w="646"/>
        <w:gridCol w:w="109"/>
        <w:gridCol w:w="109"/>
        <w:gridCol w:w="159"/>
      </w:tblGrid>
      <w:tr>
        <w:trPr/>
        <w:tc>
          <w:tcPr>
            <w:tcW w:w="6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Accumulated Amortization</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Net Book </w:t>
            </w:r>
          </w:p>
          <w:p>
            <w:pPr>
              <w:pStyle w:val="TableContents"/>
              <w:bidi w:val="0"/>
              <w:spacing w:lineRule="auto" w:line="288" w:before="0" w:after="0"/>
              <w:jc w:val="center"/>
              <w:rPr/>
            </w:pPr>
            <w:r>
              <w:rPr>
                <w:rFonts w:ascii="Arial;sans-serif" w:hAnsi="Arial;sans-serif"/>
                <w:b/>
                <w:color w:val="000000"/>
                <w:sz w:val="16"/>
              </w:rPr>
              <w:t>Value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pPr>
            <w:r>
              <w:rPr>
                <w:rFonts w:ascii="Arial;sans-serif" w:hAnsi="Arial;sans-serif"/>
                <w:b/>
                <w:color w:val="000000"/>
                <w:sz w:val="16"/>
              </w:rPr>
              <w:t>Amount</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pPr>
            <w:r>
              <w:rPr>
                <w:rFonts w:ascii="Arial;sans-serif" w:hAnsi="Arial;sans-serif"/>
                <w:b/>
                <w:color w:val="000000"/>
                <w:sz w:val="16"/>
              </w:rPr>
              <w:t>Amortization</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Net Book</w:t>
            </w:r>
          </w:p>
          <w:p>
            <w:pPr>
              <w:pStyle w:val="TableContents"/>
              <w:bidi w:val="0"/>
              <w:spacing w:lineRule="auto" w:line="288" w:before="0" w:after="0"/>
              <w:jc w:val="center"/>
              <w:rPr/>
            </w:pPr>
            <w:r>
              <w:rPr>
                <w:rFonts w:ascii="Arial;sans-serif" w:hAnsi="Arial;sans-serif"/>
                <w:b/>
                <w:color w:val="000000"/>
                <w:sz w:val="16"/>
              </w:rPr>
              <w:t>Value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Tradenames — indefinite life </w:t>
            </w:r>
            <w:r>
              <w:rPr>
                <w:rFonts w:ascii="Arial;sans-serif" w:hAnsi="Arial;sans-serif"/>
                <w:b w:val="false"/>
                <w:color w:val="000000"/>
                <w:sz w:val="13"/>
              </w:rPr>
              <w:t>(a)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Tradenames — other </w:t>
            </w:r>
            <w:r>
              <w:rPr>
                <w:rFonts w:ascii="Arial;sans-serif" w:hAnsi="Arial;sans-serif"/>
                <w:b w:val="false"/>
                <w:color w:val="000000"/>
                <w:sz w:val="13"/>
              </w:rPr>
              <w:t>(a)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software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 and distributor channels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2,279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(701)</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1,578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2,315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(681)</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1,634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(a)During the first quarter of 2026, the Company concluded that certain tradenames with aggregate carrying values of $107 million no longer qualified as indefinite</w:t>
        <w:noBreakHyphen/>
        <w:t xml:space="preserve">lived intangibles. The tradenames were assigned estimated useful lives of 15 years. The financial statement impact associated to such change will not be material to the Company’s Condensed Consolidated Statement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Amortization expense for intangible assets was $31 million and $32 million for the three months ended June 30, 2026 and 2025, respectively and $64 million for each of the six months ended June 30, 2026 and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7 — Supplemental Balance Sheet Information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Prepaid expenses and other current assets are comprised of the following (in millions):</w:t>
      </w:r>
    </w:p>
    <w:tbl>
      <w:tblPr>
        <w:tblW w:w="5455" w:type="dxa"/>
        <w:jc w:val="left"/>
        <w:tblInd w:w="0" w:type="dxa"/>
        <w:tblLayout w:type="fixed"/>
        <w:tblCellMar>
          <w:top w:w="28" w:type="dxa"/>
          <w:left w:w="28" w:type="dxa"/>
          <w:bottom w:w="28" w:type="dxa"/>
          <w:right w:w="28" w:type="dxa"/>
        </w:tblCellMar>
      </w:tblPr>
      <w:tblGrid>
        <w:gridCol w:w="678"/>
        <w:gridCol w:w="597"/>
        <w:gridCol w:w="599"/>
        <w:gridCol w:w="359"/>
        <w:gridCol w:w="820"/>
        <w:gridCol w:w="185"/>
        <w:gridCol w:w="109"/>
        <w:gridCol w:w="109"/>
        <w:gridCol w:w="109"/>
        <w:gridCol w:w="470"/>
        <w:gridCol w:w="1074"/>
        <w:gridCol w:w="346"/>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Other receivables </w:t>
            </w:r>
            <w:r>
              <w:rPr>
                <w:rFonts w:ascii="Arial;sans-serif" w:hAnsi="Arial;sans-serif"/>
                <w:b w:val="false"/>
                <w:color w:val="000000"/>
                <w:sz w:val="13"/>
              </w:rPr>
              <w:t>(a)</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483</w:t>
            </w:r>
            <w:r>
              <w:rPr>
                <w:color w:val="000000"/>
              </w:rPr>
              <w:t>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237</w:t>
            </w:r>
            <w:r>
              <w:rPr>
                <w:color w:val="000000"/>
              </w:rPr>
              <w:t>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pPr>
      <w:r>
        <w:rPr>
          <w:rFonts w:ascii="Arial;sans-serif" w:hAnsi="Arial;sans-serif"/>
          <w:b w:val="false"/>
          <w:color w:val="000000"/>
          <w:sz w:val="16"/>
        </w:rPr>
        <w:t xml:space="preserve">(a)Balance at June 30, 2026 includes the IEEPA Tariffs refund. See </w:t>
      </w:r>
      <w:r>
        <w:rPr>
          <w:rFonts w:ascii="Arial;sans-serif" w:hAnsi="Arial;sans-serif"/>
          <w:b w:val="false"/>
          <w:i/>
          <w:color w:val="000000"/>
          <w:sz w:val="16"/>
        </w:rPr>
        <w:t>Footnote 14</w:t>
      </w:r>
      <w:r>
        <w:rPr>
          <w:color w:val="000000"/>
        </w:rPr>
        <w:t xml:space="preserve"> </w:t>
      </w:r>
      <w:r>
        <w:rPr>
          <w:rFonts w:ascii="Arial;sans-serif" w:hAnsi="Arial;sans-serif"/>
          <w:b w:val="false"/>
          <w:color w:val="000000"/>
          <w:sz w:val="16"/>
        </w:rPr>
        <w:t>for additional information.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Other accrued liabilities are comprised of the following (in millions): </w:t>
      </w:r>
    </w:p>
    <w:tbl>
      <w:tblPr>
        <w:tblW w:w="5876" w:type="dxa"/>
        <w:jc w:val="left"/>
        <w:tblInd w:w="0" w:type="dxa"/>
        <w:tblLayout w:type="fixed"/>
        <w:tblCellMar>
          <w:top w:w="28" w:type="dxa"/>
          <w:left w:w="28" w:type="dxa"/>
          <w:bottom w:w="28" w:type="dxa"/>
          <w:right w:w="28" w:type="dxa"/>
        </w:tblCellMar>
      </w:tblPr>
      <w:tblGrid>
        <w:gridCol w:w="831"/>
        <w:gridCol w:w="731"/>
        <w:gridCol w:w="732"/>
        <w:gridCol w:w="298"/>
        <w:gridCol w:w="913"/>
        <w:gridCol w:w="154"/>
        <w:gridCol w:w="109"/>
        <w:gridCol w:w="109"/>
        <w:gridCol w:w="109"/>
        <w:gridCol w:w="393"/>
        <w:gridCol w:w="1207"/>
        <w:gridCol w:w="290"/>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accruals</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1,364</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1,464</w:t>
            </w:r>
            <w:r>
              <w:rPr>
                <w:color w:val="000000"/>
              </w:rPr>
              <w:t> </w:t>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Footnote 8 — Debt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Debt is comprised of the following at the dates indicated (in millions):</w:t>
      </w:r>
    </w:p>
    <w:tbl>
      <w:tblPr>
        <w:tblW w:w="8262" w:type="dxa"/>
        <w:jc w:val="left"/>
        <w:tblInd w:w="0" w:type="dxa"/>
        <w:tblLayout w:type="fixed"/>
        <w:tblCellMar>
          <w:top w:w="28" w:type="dxa"/>
          <w:left w:w="28" w:type="dxa"/>
          <w:bottom w:w="28" w:type="dxa"/>
          <w:right w:w="28" w:type="dxa"/>
        </w:tblCellMar>
      </w:tblPr>
      <w:tblGrid>
        <w:gridCol w:w="1696"/>
        <w:gridCol w:w="1486"/>
        <w:gridCol w:w="1498"/>
        <w:gridCol w:w="298"/>
        <w:gridCol w:w="913"/>
        <w:gridCol w:w="154"/>
        <w:gridCol w:w="109"/>
        <w:gridCol w:w="109"/>
        <w:gridCol w:w="109"/>
        <w:gridCol w:w="393"/>
        <w:gridCol w:w="1207"/>
        <w:gridCol w:w="290"/>
      </w:tblGrid>
      <w:tr>
        <w:trPr/>
        <w:tc>
          <w:tcPr>
            <w:tcW w:w="16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6.375% senior notes due 2027</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8.500% senior notes due 2028</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6.625% senior notes due 2029</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6.375% senior notes due 2030</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743</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6.625% senior notes due 2032</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5.375% senior notes due 2036</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5.500% senior notes due 2046</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Revolving credit facility </w:t>
            </w:r>
            <w:r>
              <w:rPr>
                <w:rFonts w:ascii="Arial;sans-serif" w:hAnsi="Arial;sans-serif"/>
                <w:b w:val="false"/>
                <w:color w:val="000000"/>
                <w:sz w:val="13"/>
              </w:rPr>
              <w:t>(a)</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debt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debt</w:t>
            </w:r>
          </w:p>
        </w:tc>
        <w:tc>
          <w:tcPr>
            <w:tcW w:w="12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4,673 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debt and current portion of long-term debt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Long-term debt</w:t>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4,536</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4,543</w:t>
            </w:r>
            <w:r>
              <w:rPr>
                <w:color w:val="000000"/>
              </w:rPr>
              <w:t> </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(a)Included in short-term debt and current portion of long-term debt at June 30, 2026 and December 31, 2025.</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Through July 30, 2026 the Company maintained a $1.00 billion senior secured revolving credit facility (the “Credit Revolver”) maturing in August 2027. Under the Credit Revolver, the Company could borrow funds on a variety of interest terms. The Credit Revolver agreement (i) required the Company to satisfy financial covenants testing the Company’s Collateral Coverage Ratio and Total Net Leverage Ratio (each further defined in the Credit Revolver, as amended), (ii) required the Company and certain of its domestic and foreign subsidiaries (the “Guarantors”) to guaranty Company obligations under the Credit Revolver and (iii) required the Company and other Guarantors to grant a lien and security interest in certain assets consisting of eligible accounts receivables, eligible inventory, eligible equipment and eligible intellectual property, and all products and proceeds of the foregoing, subject to certain limitations.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than outstanding borrowings under the Credit Revolver, availability under the Credit Revolver was subject to change in accordance with the terms of the agreement, including in response to changes in the Company’s pledged collateral value or outstanding letters of credit under the Credit Revolver. At June 30, 2026, there was $969 million of availability under the Credit Revolver, based on the value of the pledged collateral and prior to giving effect to outstanding borrowings and letters of credit.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Credit Revolver provided for the issuance of up to $150 million of letters of credit, so long as there was sufficient availability for borrowing under the Credit Revolver. At June 30, 2026, the Company had approximately $48 million of outstanding standby letters of credit issued against the Credit Revolver and $470 million of outstanding borrowings under the Credit Revolver, resulting in a net availability of approximately $451 million.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Footnote 15</w:t>
      </w:r>
      <w:r>
        <w:rPr>
          <w:color w:val="000000"/>
        </w:rPr>
        <w:t xml:space="preserve"> </w:t>
      </w:r>
      <w:r>
        <w:rPr>
          <w:rFonts w:ascii="Arial;sans-serif" w:hAnsi="Arial;sans-serif"/>
          <w:b w:val="false"/>
          <w:color w:val="000000"/>
          <w:sz w:val="20"/>
        </w:rPr>
        <w:t xml:space="preserve">for information on the refinance and replacement of the Credit Revolver with the New ABL Credit Agreement (as defined hereafter).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Other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indentures governing the Company’s senior notes contain usual and customary nonfinancial covenants, with the 8.500% notes due 2028, 6.375% notes due 2030 and 6.625% notes due 2032 containing additional covenants as described in </w:t>
      </w:r>
      <w:r>
        <w:rPr>
          <w:rFonts w:ascii="Arial;sans-serif" w:hAnsi="Arial;sans-serif"/>
          <w:b w:val="false"/>
          <w:i/>
          <w:color w:val="000000"/>
          <w:sz w:val="20"/>
        </w:rPr>
        <w:t xml:space="preserve">Footnote 8 of the Notes to the Consolidated Financial Statements </w:t>
      </w:r>
      <w:r>
        <w:rPr>
          <w:rFonts w:ascii="Arial;sans-serif" w:hAnsi="Arial;sans-serif"/>
          <w:b w:val="false"/>
          <w:color w:val="000000"/>
          <w:sz w:val="20"/>
        </w:rPr>
        <w:t xml:space="preserve">in the Company’s most recent Annual Report on Form 10-K, filed on February 13,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Weighted average interest rates are as follows:</w:t>
      </w:r>
    </w:p>
    <w:tbl>
      <w:tblPr>
        <w:tblW w:w="6223" w:type="dxa"/>
        <w:jc w:val="left"/>
        <w:tblInd w:w="0" w:type="dxa"/>
        <w:tblLayout w:type="fixed"/>
        <w:tblCellMar>
          <w:top w:w="28" w:type="dxa"/>
          <w:left w:w="28" w:type="dxa"/>
          <w:bottom w:w="28" w:type="dxa"/>
          <w:right w:w="28" w:type="dxa"/>
        </w:tblCellMar>
      </w:tblPr>
      <w:tblGrid>
        <w:gridCol w:w="531"/>
        <w:gridCol w:w="467"/>
        <w:gridCol w:w="472"/>
        <w:gridCol w:w="237"/>
        <w:gridCol w:w="199"/>
        <w:gridCol w:w="450"/>
        <w:gridCol w:w="171"/>
        <w:gridCol w:w="171"/>
        <w:gridCol w:w="171"/>
        <w:gridCol w:w="237"/>
        <w:gridCol w:w="199"/>
        <w:gridCol w:w="450"/>
        <w:gridCol w:w="109"/>
        <w:gridCol w:w="109"/>
        <w:gridCol w:w="109"/>
        <w:gridCol w:w="237"/>
        <w:gridCol w:w="199"/>
        <w:gridCol w:w="385"/>
        <w:gridCol w:w="146"/>
        <w:gridCol w:w="146"/>
        <w:gridCol w:w="146"/>
        <w:gridCol w:w="237"/>
        <w:gridCol w:w="199"/>
        <w:gridCol w:w="446"/>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 June 30,</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debt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fair value of the Company’s senior notes are based upon prices of similar instruments in the marketplace and are as follows (in millions): </w:t>
      </w:r>
    </w:p>
    <w:tbl>
      <w:tblPr>
        <w:tblW w:w="6684" w:type="dxa"/>
        <w:jc w:val="left"/>
        <w:tblInd w:w="0" w:type="dxa"/>
        <w:tblLayout w:type="fixed"/>
        <w:tblCellMar>
          <w:top w:w="28" w:type="dxa"/>
          <w:left w:w="28" w:type="dxa"/>
          <w:bottom w:w="28" w:type="dxa"/>
          <w:right w:w="28" w:type="dxa"/>
        </w:tblCellMar>
      </w:tblPr>
      <w:tblGrid>
        <w:gridCol w:w="440"/>
        <w:gridCol w:w="386"/>
        <w:gridCol w:w="388"/>
        <w:gridCol w:w="229"/>
        <w:gridCol w:w="702"/>
        <w:gridCol w:w="120"/>
        <w:gridCol w:w="109"/>
        <w:gridCol w:w="109"/>
        <w:gridCol w:w="109"/>
        <w:gridCol w:w="255"/>
        <w:gridCol w:w="783"/>
        <w:gridCol w:w="133"/>
        <w:gridCol w:w="109"/>
        <w:gridCol w:w="109"/>
        <w:gridCol w:w="109"/>
        <w:gridCol w:w="229"/>
        <w:gridCol w:w="702"/>
        <w:gridCol w:w="120"/>
        <w:gridCol w:w="109"/>
        <w:gridCol w:w="109"/>
        <w:gridCol w:w="109"/>
        <w:gridCol w:w="253"/>
        <w:gridCol w:w="776"/>
        <w:gridCol w:w="187"/>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Book Value</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Senior notes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4,541 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all other debt approximates fair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9 —Derivatives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From time to time, the Company enters into derivative transactions to hedge its exposures to interest rate, foreign currency rate and commodity price fluctuations. The Company does not enter into derivative transactions for trading purposes. The Company is not a party to any derivative agreements that require collateral to be posted prior to settlement.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Interest Rate Contracts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manages its fixed and floating rate debt mix using interest rate swaps. The Company may use fixed and floating rate swaps to alter its exposure to the impact of changing interest rates on its consolidated results of operations and future cash outflows for interest. Floating rate swaps would be used, depending on market conditions, to convert the fixed rates of long-term debt into short-term variable rates. Fixed rate swaps would be used to reduce the Company’s risk of the possibility of increased interest costs. The settlement of interest rate swaps is included in interest expense, net in the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June 30, 2026, the Company had approximately $1.00 billion notional amount of interest rate swaps due September 2027 and September 2029 that exchange a fixed rate of interest for a variable rate of interest plus a weighted average spread. These floating rate swaps are designated as fair value hedges against the principal of the 6.375% senior notes due 2027 and the 6.625% senior notes due 2029 for the remaining life of the notes. The effective portion of the fair value gains or losses on these swaps is offset by fair value adjustments in the underlying debt.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Cross-Currency Contracts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uses cross-currency swaps to hedge foreign currency risk on certain financing arrangements. These swaps mature on dates ranging from November 2026 to September 2029, with an aggregate notional amount of $2.11 billion.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Cross-currency swaps totaling $1.97 billion were designated as net investment hedges of the Company’s foreign currency exposure of its net investment in certain Euro-functional currency subsidiaries with Euro-denominated net assets. Under the terms of the swaps, the Company pays fixed or floating interest in Euros and receives fixed or floating interest in U.S. dollar. The Company has elected the spot method to assess hedge effectiveness. During the first and second quarters of 2026, the Company partially undesignated one cross-currency swap prior to its September 2027 maturity. The swaps had notional amounts of approximately $112 million and $47 million,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quarter of 2026, the Company entered into two cross-currency swap agreements with an aggregate notional amount of $145 million, which mature in February 2027. These swaps are designated as net investment hedges of the Company’s foreign currency exposure related to its net investment in certain Hong Kong dollar- and New Zealand dollar-functional currency subsidiaries. Under the terms of these swaps, the Company pays fixed interest in the respective local currencies and receives fixed interest in U.S. dollars.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June 30, 2026 and 2025, the Company recognized income of $6 million and $8 million, respectively and during the six months ended June 30, 2026 and 2025, recognized income of $13 million and $17 million respectively, in interest expense, net, related to the portion of cross-currency swaps excluded from hedge effectiveness testing.</w:t>
      </w:r>
    </w:p>
    <w:p>
      <w:pPr>
        <w:pStyle w:val="TextBody"/>
        <w:bidi w:val="0"/>
        <w:spacing w:before="0" w:after="0"/>
        <w:jc w:val="both"/>
        <w:rPr/>
      </w:pPr>
      <w:r>
        <w:rPr/>
      </w:r>
    </w:p>
    <w:p>
      <w:pPr>
        <w:pStyle w:val="TextBody"/>
        <w:bidi w:val="0"/>
        <w:spacing w:lineRule="auto" w:line="256" w:before="0" w:after="0"/>
        <w:jc w:val="left"/>
        <w:rPr>
          <w:rFonts w:ascii="Arial;sans-serif" w:hAnsi="Arial;sans-serif"/>
          <w:b/>
          <w:i/>
          <w:color w:val="000000"/>
          <w:sz w:val="20"/>
        </w:rPr>
      </w:pPr>
      <w:r>
        <w:rPr>
          <w:rFonts w:ascii="Arial;sans-serif" w:hAnsi="Arial;sans-serif"/>
          <w:b/>
          <w:i/>
          <w:color w:val="000000"/>
          <w:sz w:val="20"/>
        </w:rPr>
        <w:t>Foreign Currency Contracts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forward foreign currency contracts to mitigate the foreign currency exchange rate exposure on the cash flows related to forecasted inventory purchases and sales with maturity dates through June 2027. The derivatives used to hedge these forecasted transactions that meet the criteria for hedge accounting are accounted for as cash flow hedges. The effective portion of the gains or losses on these derivatives is deferred as a component of AOCL until it is recognized in earnings at the same time that the hedged item affects earnings and is included in the same caption (net sales and cost of products sold) in the Company’s Condensed Consolidated Statement of Operations as the underlying hedged item. At June 30, 2026, the Company had outstanding forward foreign currency contracts with notional amount of approximately $261 million that are designated as cash flow hedges of forecasted inventory purchases and sales.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also uses foreign currency contracts, primarily forward foreign currency contracts, to mitigate the foreign currency exposure of certain other foreign currency transactions. At June 30, 2026, the Company had approximately $1.07 billion notional amount outstanding of these foreign currency contracts that are not designated as effective hedges for accounting purposes and have maturity dates through June 2027. Fair market value gains or losses are included in the results of operations and are classified in other expense, net in the Company’s Condensed Consolidated Statement of Operations. </w:t>
      </w:r>
    </w:p>
    <w:p>
      <w:pPr>
        <w:pStyle w:val="TextBody"/>
        <w:bidi w:val="0"/>
        <w:spacing w:before="0" w:after="0"/>
        <w:jc w:val="left"/>
        <w:rPr/>
      </w:pPr>
      <w:r>
        <w:rPr/>
      </w:r>
    </w:p>
    <w:p>
      <w:pPr>
        <w:pStyle w:val="TextBody"/>
        <w:bidi w:val="0"/>
        <w:spacing w:lineRule="auto" w:line="256" w:before="0" w:after="0"/>
        <w:jc w:val="left"/>
        <w:rPr>
          <w:rFonts w:ascii="Arial;sans-serif" w:hAnsi="Arial;sans-serif"/>
          <w:b/>
          <w:i/>
          <w:color w:val="000000"/>
          <w:sz w:val="20"/>
        </w:rPr>
      </w:pPr>
      <w:r>
        <w:rPr>
          <w:rFonts w:ascii="Arial;sans-serif" w:hAnsi="Arial;sans-serif"/>
          <w:b/>
          <w:i/>
          <w:color w:val="000000"/>
          <w:sz w:val="20"/>
        </w:rPr>
        <w:t>Fair Value Measurements of Derivative Instruments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determines the fair value of its derivative instruments using standard pricing models and market-based assumptions for all significant inputs, such as yield curves and quoted spot and forward exchange rates. Accordingly, the Company’s derivative instruments are classified as Level 2 of the fair value hierarchy. At June 30, 2026 and December 31, 2025, the fair value of the Company’s derivative financial instruments designated as effective hedges were not material by type of instrument, with the exception of cross-currency swaps included in other noncurrent liabilities. At June 30, 2026, the fair value of the derivatives, designated as effective hedges, were recorded in prepaid expenses and other current assets, other accrued liabilities, and other noncurrent liabilities of $18 million, $52 million and $168 million (including cross-currency swaps of $156 million), respectively. At December 31, 2025, the fair value of the derivatives, designated as effective hedges, were recorded in prepaid expenses and other current assets, other accrued liabilities, and other noncurrent liabilities of $13 million, $68 million, and $196 million (including cross-currency swaps of $192 million), respectively. The fair value of the Company’s derivative financial instruments not designated as effective hedges were not material at June 30, 2026 and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Gain or loss activity related to the Company’s interest rate swaps and foreign currency contract derivative financial instruments, designated or previously designated as effective hedges and recognized in other comprehensive income (effective portion) were not material to any of the periods presented, except for cross-currency swaps. For the three months ended June 30, 2026 and 2025, the Company recognized gain of $21 million and loss of $201 million, respectively, related to its cross-currency swaps, and for the six months ended June 30, 2026 and 2025, recognized a gain of $61 million and loss of $289 million, respectively.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amount reclassified from AOCL to income has been presented in </w:t>
      </w:r>
      <w:r>
        <w:rPr>
          <w:rFonts w:ascii="Arial;sans-serif" w:hAnsi="Arial;sans-serif"/>
          <w:b w:val="false"/>
          <w:i/>
          <w:color w:val="000000"/>
          <w:sz w:val="20"/>
        </w:rPr>
        <w:t>Footnote 2</w:t>
      </w:r>
      <w:r>
        <w:rPr>
          <w:rFonts w:ascii="Arial;sans-serif" w:hAnsi="Arial;sans-serif"/>
          <w:b w:val="false"/>
          <w:color w:val="000000"/>
          <w:sz w:val="20"/>
        </w:rPr>
        <w:t>. The gain or loss activity recognized related to derivatives that are not designated as hedging instruments were not material for the periods presented. Gains and losses on these derivatives are mostly</w:t>
      </w:r>
      <w:r>
        <w:rPr>
          <w:color w:val="FF0000"/>
        </w:rPr>
        <w:t xml:space="preserve"> </w:t>
      </w:r>
      <w:r>
        <w:rPr>
          <w:rFonts w:ascii="Arial;sans-serif" w:hAnsi="Arial;sans-serif"/>
          <w:b w:val="false"/>
          <w:color w:val="000000"/>
          <w:sz w:val="20"/>
        </w:rPr>
        <w:t xml:space="preserve">offset by foreign currency movement in the underlying exposure.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June 30, 2026, net deferred losses to be reclassified to earnings over the next twelve months are not expected to be 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10 —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effective income tax rates for the three months ended June 30, 2026 and 2025 were a provision of 45.6% and 35.2%, respectively, and for the six months ended June 30, 2026 and 2025 were provision of 45.5%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43.8%, respectively, reflecting a year-over-year increase in forecasted pretax book income combined with a decrease in income tax benefits.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differences between the U.S. federal statutory income tax rate of 21.0% and the Company’s effective income tax rate for the three and six months ended June 30, 2026 and 2025 were impacted by a variety of factors, primarily resulting from the geographic mix of where the income was earned, as well as certain taxable income inclusion items in the U.S. based on foreign earnings.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three and six months ended June 30, 2026 were impacted by certain discrete items. Income tax expense for the three months ended June 30, 2026 included a discrete expense of $24 million, primarily attributable to the tax effect of IEEPA Tariffs refund recognized during the quarter related to amounts previously expensed in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files numerous consolidated and separate income tax returns in the U.S. federal jurisdiction and various state and foreign jurisdictions. The statute of limitations for the Company’s U.S. federal income tax returns has expired for years prior to 2011 and for 2016. With few exceptions, the Company is no longer subject to other income tax examinations for years before 2016. During the second quarter of 2026, the Company received notification from the </w:t>
      </w:r>
      <w:r>
        <w:rPr>
          <w:rFonts w:ascii="Arial;sans-serif" w:hAnsi="Arial;sans-serif"/>
          <w:b w:val="false"/>
          <w:color w:val="000000"/>
          <w:sz w:val="20"/>
          <w:shd w:fill="FFFFFF" w:val="clear"/>
        </w:rPr>
        <w:t>Internal Revenue Service (“IRS”) of its intent to examine the Company's federal income tax returns for tax years 2021 through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Other Matters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In July 2024, the Company filed a petition in the U.S. Tax Court disputing a proposed assessment by the IRS of </w:t>
      </w:r>
      <w:r>
        <w:rPr>
          <w:rFonts w:ascii="Arial;sans-serif" w:hAnsi="Arial;sans-serif"/>
          <w:b w:val="false"/>
          <w:color w:val="000000"/>
          <w:sz w:val="20"/>
        </w:rPr>
        <w:t>$80 million</w:t>
      </w:r>
      <w:r>
        <w:rPr>
          <w:color w:val="000000"/>
          <w:shd w:fill="FFFFFF" w:val="clear"/>
        </w:rPr>
        <w:t xml:space="preserve"> </w:t>
      </w:r>
      <w:r>
        <w:rPr>
          <w:rFonts w:ascii="Arial;sans-serif" w:hAnsi="Arial;sans-serif"/>
          <w:b w:val="false"/>
          <w:color w:val="000000"/>
          <w:sz w:val="20"/>
          <w:shd w:fill="FFFFFF" w:val="clear"/>
        </w:rPr>
        <w:t xml:space="preserve">in additional taxes and approximately </w:t>
      </w:r>
      <w:r>
        <w:rPr>
          <w:rFonts w:ascii="Arial;sans-serif" w:hAnsi="Arial;sans-serif"/>
          <w:b w:val="false"/>
          <w:color w:val="000000"/>
          <w:sz w:val="20"/>
        </w:rPr>
        <w:t>$34 million</w:t>
      </w:r>
      <w:r>
        <w:rPr>
          <w:color w:val="000000"/>
          <w:shd w:fill="FFFFFF" w:val="clear"/>
        </w:rPr>
        <w:t xml:space="preserve"> </w:t>
      </w:r>
      <w:r>
        <w:rPr>
          <w:rFonts w:ascii="Arial;sans-serif" w:hAnsi="Arial;sans-serif"/>
          <w:b w:val="false"/>
          <w:color w:val="000000"/>
          <w:sz w:val="20"/>
          <w:shd w:fill="FFFFFF" w:val="clear"/>
        </w:rPr>
        <w:t>in penalties plus additional interest to be calculated upon final settlement, related to the transfer pricing of services performed by certain of the Company’s foreign affiliates for the tax years 2011 through 2015. The Company believes it has recorded adequate reserves for any adjustments that may ultimately result.</w:t>
      </w:r>
      <w:r>
        <w:rPr>
          <w:color w:val="000000"/>
        </w:rPr>
        <w:t xml:space="preserve"> </w:t>
      </w:r>
      <w:r>
        <w:rPr>
          <w:rFonts w:ascii="Arial;sans-serif" w:hAnsi="Arial;sans-serif"/>
          <w:b w:val="false"/>
          <w:color w:val="000000"/>
          <w:sz w:val="20"/>
        </w:rPr>
        <w:t xml:space="preserve">However, if the IRS were to prevail and the final assessment of additional tax, interest and penalties exceeds the Company's current reserves, such outcome could have a material adverse effect on the Company’s financial position and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11 — Weighted Average Shares Outstanding</w:t>
      </w:r>
    </w:p>
    <w:p>
      <w:pPr>
        <w:pStyle w:val="TextBody"/>
        <w:bidi w:val="0"/>
        <w:spacing w:before="0" w:after="0"/>
        <w:jc w:val="both"/>
        <w:rPr/>
      </w:pPr>
      <w:r>
        <w:rPr/>
      </w:r>
    </w:p>
    <w:tbl>
      <w:tblPr>
        <w:tblW w:w="9447" w:type="dxa"/>
        <w:jc w:val="left"/>
        <w:tblInd w:w="0" w:type="dxa"/>
        <w:tblLayout w:type="fixed"/>
        <w:tblCellMar>
          <w:top w:w="28" w:type="dxa"/>
          <w:left w:w="28" w:type="dxa"/>
          <w:bottom w:w="28" w:type="dxa"/>
          <w:right w:w="28" w:type="dxa"/>
        </w:tblCellMar>
      </w:tblPr>
      <w:tblGrid>
        <w:gridCol w:w="1560"/>
        <w:gridCol w:w="1371"/>
        <w:gridCol w:w="1373"/>
        <w:gridCol w:w="360"/>
        <w:gridCol w:w="286"/>
        <w:gridCol w:w="233"/>
        <w:gridCol w:w="233"/>
        <w:gridCol w:w="233"/>
        <w:gridCol w:w="233"/>
        <w:gridCol w:w="360"/>
        <w:gridCol w:w="286"/>
        <w:gridCol w:w="233"/>
        <w:gridCol w:w="109"/>
        <w:gridCol w:w="109"/>
        <w:gridCol w:w="109"/>
        <w:gridCol w:w="323"/>
        <w:gridCol w:w="323"/>
        <w:gridCol w:w="197"/>
        <w:gridCol w:w="197"/>
        <w:gridCol w:w="197"/>
        <w:gridCol w:w="197"/>
        <w:gridCol w:w="323"/>
        <w:gridCol w:w="323"/>
        <w:gridCol w:w="279"/>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 June 30,</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 weighted-average shares outstanding</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425.2 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423.4 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Diluted weighted-average shares outstanding</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430.2</w:t>
            </w:r>
            <w:r>
              <w:rPr>
                <w:color w:val="000000"/>
              </w:rPr>
              <w:t> </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420.9</w:t>
            </w:r>
            <w:r>
              <w:rPr>
                <w:color w:val="000000"/>
              </w:rPr>
              <w:t> </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430.0</w:t>
            </w:r>
            <w:r>
              <w:rPr>
                <w:color w:val="000000"/>
              </w:rPr>
              <w:t>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421.8</w:t>
            </w:r>
            <w:r>
              <w:rPr>
                <w:color w:val="000000"/>
              </w:rPr>
              <w:t>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June 30, 2026 and 2025, there were no potentially dilutive share awards with performance-based targets that were not met.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computation of diluted weighted-average shares outstanding excludes approximately 8.6 million and 11.5 million potential common shares for the three and </w:t>
      </w:r>
      <w:r>
        <w:rPr>
          <w:rFonts w:ascii="Arial;sans-serif" w:hAnsi="Arial;sans-serif"/>
          <w:b w:val="false"/>
          <w:color w:val="000000"/>
          <w:sz w:val="20"/>
          <w:shd w:fill="FFFFFF" w:val="clear"/>
        </w:rPr>
        <w:t xml:space="preserve">six months ended June 30, 2026, respectively and approximately </w:t>
      </w:r>
      <w:r>
        <w:rPr>
          <w:rFonts w:ascii="Arial;sans-serif" w:hAnsi="Arial;sans-serif"/>
          <w:b w:val="false"/>
          <w:color w:val="000000"/>
          <w:sz w:val="20"/>
        </w:rPr>
        <w:t xml:space="preserve">18.4 million </w:t>
      </w:r>
      <w:r>
        <w:rPr>
          <w:rFonts w:ascii="Arial;sans-serif" w:hAnsi="Arial;sans-serif"/>
          <w:b w:val="false"/>
          <w:color w:val="000000"/>
          <w:sz w:val="20"/>
          <w:shd w:fill="FFFFFF" w:val="clear"/>
        </w:rPr>
        <w:t xml:space="preserve">and </w:t>
      </w:r>
      <w:r>
        <w:rPr>
          <w:rFonts w:ascii="Arial;sans-serif" w:hAnsi="Arial;sans-serif"/>
          <w:b w:val="false"/>
          <w:color w:val="000000"/>
          <w:sz w:val="20"/>
        </w:rPr>
        <w:t>12.6 million</w:t>
      </w:r>
      <w:r>
        <w:rPr>
          <w:color w:val="000000"/>
          <w:shd w:fill="FFFFFF" w:val="clear"/>
        </w:rPr>
        <w:t xml:space="preserve"> </w:t>
      </w:r>
      <w:r>
        <w:rPr>
          <w:rFonts w:ascii="Arial;sans-serif" w:hAnsi="Arial;sans-serif"/>
          <w:b w:val="false"/>
          <w:color w:val="000000"/>
          <w:sz w:val="20"/>
        </w:rPr>
        <w:t xml:space="preserve">potential common shares for the three and </w:t>
      </w:r>
      <w:r>
        <w:rPr>
          <w:rFonts w:ascii="Arial;sans-serif" w:hAnsi="Arial;sans-serif"/>
          <w:b w:val="false"/>
          <w:color w:val="000000"/>
          <w:sz w:val="20"/>
          <w:shd w:fill="FFFFFF" w:val="clear"/>
        </w:rPr>
        <w:t xml:space="preserve">six months ended </w:t>
      </w:r>
      <w:r>
        <w:rPr>
          <w:rFonts w:ascii="Arial;sans-serif" w:hAnsi="Arial;sans-serif"/>
          <w:b w:val="false"/>
          <w:color w:val="000000"/>
          <w:sz w:val="20"/>
        </w:rPr>
        <w:t>June 30, 2025, respectively, as their effect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12 — Share-Based Compensation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During the six months ended June 30, 2026, primarily in connection with its annual grant, the Company granted 3.2 million performance-based restricted stock units (“RSUs”), with an aggregate grant date fair value of $15 million. These performance-based RSUs entitle the recipients to shares of the Company’s common stock and vest approximately at the end of a </w:t>
      </w:r>
      <w:r>
        <w:rPr>
          <w:rFonts w:ascii="Arial;sans-serif" w:hAnsi="Arial;sans-serif"/>
          <w:b w:val="false"/>
          <w:color w:val="000000"/>
          <w:sz w:val="20"/>
        </w:rPr>
        <w:t>three</w:t>
      </w:r>
      <w:r>
        <w:rPr>
          <w:rFonts w:ascii="Arial;sans-serif" w:hAnsi="Arial;sans-serif"/>
          <w:b w:val="false"/>
          <w:color w:val="000000"/>
          <w:sz w:val="20"/>
          <w:shd w:fill="FFFFFF" w:val="clear"/>
        </w:rPr>
        <w:t xml:space="preserve">-year period, subject to continued employment. The actual number of shares that will ultimately be paid upon vesting is dependent on the level of achievement of the specified performance conditions.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During the </w:t>
      </w:r>
      <w:r>
        <w:rPr>
          <w:rFonts w:ascii="Arial;sans-serif" w:hAnsi="Arial;sans-serif"/>
          <w:b w:val="false"/>
          <w:color w:val="000000"/>
          <w:sz w:val="20"/>
          <w:shd w:fill="FFFFFF" w:val="clear"/>
        </w:rPr>
        <w:t>six months ended</w:t>
      </w:r>
      <w:r>
        <w:rPr>
          <w:color w:val="000000"/>
        </w:rPr>
        <w:t xml:space="preserve"> </w:t>
      </w:r>
      <w:r>
        <w:rPr>
          <w:rFonts w:ascii="Arial;sans-serif" w:hAnsi="Arial;sans-serif"/>
          <w:b w:val="false"/>
          <w:color w:val="000000"/>
          <w:sz w:val="20"/>
        </w:rPr>
        <w:t xml:space="preserve">June 30, 2026, primarily in connection with its annual grant, the Company also granted 9.6 million time-based RSUs with an aggregate grant date fair value of $44 million. These time-based RSUs entitle recipients to shares of the Company’s common stock and generally vest in annual installments approximately over a three-year period, </w:t>
      </w:r>
      <w:r>
        <w:rPr>
          <w:rFonts w:ascii="Arial;sans-serif" w:hAnsi="Arial;sans-serif"/>
          <w:b w:val="false"/>
          <w:color w:val="000000"/>
          <w:sz w:val="20"/>
          <w:shd w:fill="FFFFFF" w:val="clear"/>
        </w:rPr>
        <w:t>subject to continued employment.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Footnote 13 — Segment Information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Company’s three reportable segments are</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594"/>
        <w:gridCol w:w="451"/>
        <w:gridCol w:w="455"/>
        <w:gridCol w:w="109"/>
        <w:gridCol w:w="109"/>
        <w:gridCol w:w="109"/>
        <w:gridCol w:w="858"/>
        <w:gridCol w:w="858"/>
        <w:gridCol w:w="837"/>
        <w:gridCol w:w="109"/>
        <w:gridCol w:w="109"/>
        <w:gridCol w:w="109"/>
        <w:gridCol w:w="1609"/>
        <w:gridCol w:w="1609"/>
        <w:gridCol w:w="2280"/>
      </w:tblGrid>
      <w:tr>
        <w:trPr/>
        <w:tc>
          <w:tcPr>
            <w:tcW w:w="59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Key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Description of Primary Products</w:t>
            </w:r>
          </w:p>
        </w:tc>
      </w:tr>
      <w:tr>
        <w:trPr/>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Home and Commercial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Ball</w:t>
            </w:r>
            <w:r>
              <w:rPr>
                <w:rFonts w:ascii="Arial;sans-serif" w:hAnsi="Arial;sans-serif"/>
                <w:b w:val="false"/>
                <w:color w:val="000000"/>
                <w:sz w:val="13"/>
              </w:rPr>
              <w:t>(a)</w:t>
            </w:r>
            <w:r>
              <w:rPr>
                <w:rFonts w:ascii="Arial;sans-serif" w:hAnsi="Arial;sans-serif"/>
                <w:b w:val="false"/>
                <w:color w:val="000000"/>
                <w:sz w:val="20"/>
              </w:rPr>
              <w:t>, Calphalon, Chesapeake Bay, Crock-Pot, FoodSaver, Mapa, Mr. Coffee, Oster, Rubbermaid, Rubbermaid Commercial Products, Sistema, Spontex, Sunbeam, WoodWick and Yankee Candle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Commercial cleaning and maintenance solutions; closet and garage organization; hygiene systems and material handling solutions; household products, including kitchen appliances; food and home storage products; fresh preserving products; vacuum sealing products; gourmet cookware, bakeware and cutlery and home fragrance products</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Aprica, Dymo, Elmer’s, EXPO, Graco, NUK, Paper Mate, Parker, Prismacolor and Sharpie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Baby gear and infant care products; writing instruments, including markers and highlighters, pens and pencils; art products; activity-based products and labeling solutions</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Bubba, Campingaz, Coleman, Contigo and Marmot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Active lifestyle products for outdoor and outdoor-related activities; technical apparel and on-the-go beverageware</w:t>
            </w:r>
          </w:p>
        </w:tc>
      </w:tr>
    </w:tbl>
    <w:p>
      <w:pPr>
        <w:pStyle w:val="TextBody"/>
        <w:bidi w:val="0"/>
        <w:spacing w:lineRule="auto" w:line="288" w:before="0" w:after="0"/>
        <w:ind w:left="0" w:right="0" w:hanging="360"/>
        <w:jc w:val="left"/>
        <w:rPr/>
      </w:pPr>
      <w:r>
        <w:rPr>
          <w:rFonts w:ascii="Arial;sans-serif" w:hAnsi="Arial;sans-serif"/>
          <w:b w:val="false"/>
          <w:color w:val="000000"/>
          <w:sz w:val="16"/>
        </w:rPr>
        <w:t>(a)</w:t>
      </w:r>
      <w:r>
        <w:rPr>
          <w:color w:val="000000"/>
        </w:rPr>
        <w:t xml:space="preserve"> </w:t>
      </w:r>
      <w:r>
        <w:rPr/>
        <w:drawing>
          <wp:inline distT="0" distB="0" distL="0" distR="0">
            <wp:extent cx="276225" cy="190500"/>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276225" cy="190500"/>
                    </a:xfrm>
                    <a:prstGeom prst="rect">
                      <a:avLst/>
                    </a:prstGeom>
                  </pic:spPr>
                </pic:pic>
              </a:graphicData>
            </a:graphic>
          </wp:inline>
        </w:drawing>
      </w:r>
      <w:bookmarkStart w:id="0" w:name="i-1"/>
      <w:bookmarkEnd w:id="0"/>
      <w:r>
        <w:rPr>
          <w:color w:val="000000"/>
        </w:rPr>
        <w:t xml:space="preserve"> </w:t>
      </w:r>
      <w:r>
        <w:rPr>
          <w:rFonts w:ascii="Arial;sans-serif" w:hAnsi="Arial;sans-serif"/>
          <w:b w:val="false"/>
          <w:color w:val="000000"/>
          <w:sz w:val="16"/>
        </w:rPr>
        <w:t>and Ball®, TMs of Ball Corporation, used under license.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The President and Chief Executive Officer of the Company, who is the Chief Operating Decision Maker (the “CODM”) reviews the businesses as </w:t>
      </w:r>
      <w:r>
        <w:rPr>
          <w:rFonts w:ascii="Arial;sans-serif" w:hAnsi="Arial;sans-serif"/>
          <w:b w:val="false"/>
          <w:color w:val="000000"/>
          <w:sz w:val="20"/>
        </w:rPr>
        <w:t xml:space="preserve">three </w:t>
      </w:r>
      <w:r>
        <w:rPr>
          <w:rFonts w:ascii="Arial;sans-serif" w:hAnsi="Arial;sans-serif"/>
          <w:b w:val="false"/>
          <w:color w:val="000000"/>
          <w:sz w:val="20"/>
          <w:shd w:fill="FFFFFF" w:val="clear"/>
        </w:rPr>
        <w:t xml:space="preserve">operating segments: </w:t>
      </w:r>
      <w:r>
        <w:rPr>
          <w:rFonts w:ascii="Arial;sans-serif" w:hAnsi="Arial;sans-serif"/>
          <w:b w:val="false"/>
          <w:color w:val="000000"/>
          <w:sz w:val="20"/>
        </w:rPr>
        <w:t xml:space="preserve">Home and Commercial Solutions, </w:t>
      </w:r>
      <w:r>
        <w:rPr>
          <w:rFonts w:ascii="Arial;sans-serif" w:hAnsi="Arial;sans-serif"/>
          <w:b w:val="false"/>
          <w:color w:val="000000"/>
          <w:sz w:val="20"/>
          <w:shd w:fill="FFFFFF" w:val="clear"/>
        </w:rPr>
        <w:t xml:space="preserve">Learning and Development and Outdoor and Recreation. This structure reflects the manner in which the CODM regularly assesses information for decision-making purposes, including the allocation of resources. </w:t>
      </w:r>
      <w:r>
        <w:rPr>
          <w:rFonts w:ascii="Arial;sans-serif" w:hAnsi="Arial;sans-serif"/>
          <w:b w:val="false"/>
          <w:color w:val="212529"/>
          <w:sz w:val="20"/>
        </w:rPr>
        <w:t>The Company also provides general corporate services to its segments which is reported as a non-operating segment, Corporate.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212529"/>
          <w:sz w:val="20"/>
        </w:rPr>
        <w:t xml:space="preserve">The CODM evaluates the segments’ operating performance based on segment operating income, defined as net sales minus cost of products sold, segment SG&amp;A (including </w:t>
      </w:r>
      <w:r>
        <w:rPr>
          <w:rFonts w:ascii="Arial;sans-serif" w:hAnsi="Arial;sans-serif"/>
          <w:b w:val="false"/>
          <w:color w:val="000000"/>
          <w:sz w:val="20"/>
        </w:rPr>
        <w:t>share-based compensation at target for operating segment employees)</w:t>
      </w:r>
      <w:r>
        <w:rPr>
          <w:color w:val="212529"/>
        </w:rPr>
        <w:t xml:space="preserve"> </w:t>
      </w:r>
      <w:r>
        <w:rPr>
          <w:rFonts w:ascii="Arial;sans-serif" w:hAnsi="Arial;sans-serif"/>
          <w:b w:val="false"/>
          <w:color w:val="212529"/>
          <w:sz w:val="20"/>
        </w:rPr>
        <w:t xml:space="preserve">and other segment costs. </w:t>
      </w:r>
      <w:r>
        <w:rPr>
          <w:rFonts w:ascii="Arial;sans-serif" w:hAnsi="Arial;sans-serif"/>
          <w:b w:val="false"/>
          <w:color w:val="000000"/>
          <w:sz w:val="20"/>
        </w:rPr>
        <w:t xml:space="preserve">Segment SG&amp;A includes an allocation of center-led corporate functions including the bonus for such corporate functions based on achieving 100% of the respective target. However, any variability in expense from such targets, favorable or unfavorable, is retained at corporate, and would be reflected as a corporate expense. Segment SG&amp;A also does not include any allocation of share-based compensation related to such center-led corporate functions or any adjustments, favorable or unfavorable, between the actual share-based compensation achieved versus the share-based compensation at target for operating segment employees, which items are also reflected in corporate expense. </w:t>
      </w:r>
      <w:r>
        <w:rPr>
          <w:rFonts w:ascii="Arial;sans-serif" w:hAnsi="Arial;sans-serif"/>
          <w:b w:val="false"/>
          <w:color w:val="212529"/>
          <w:sz w:val="20"/>
        </w:rPr>
        <w:t>The CODM considers budget-to-current forecast and prior actuals-to-current forecast variances for segment operating income on a periodic basis for evaluating performance of each segment and making decisions about allocating capital and other resources to each segment.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results by segment are as follows (in millions):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2"/>
        <w:gridCol w:w="581"/>
        <w:gridCol w:w="454"/>
        <w:gridCol w:w="211"/>
        <w:gridCol w:w="646"/>
        <w:gridCol w:w="109"/>
        <w:gridCol w:w="275"/>
        <w:gridCol w:w="629"/>
        <w:gridCol w:w="142"/>
        <w:gridCol w:w="253"/>
        <w:gridCol w:w="578"/>
        <w:gridCol w:w="130"/>
        <w:gridCol w:w="243"/>
        <w:gridCol w:w="555"/>
        <w:gridCol w:w="125"/>
        <w:gridCol w:w="109"/>
        <w:gridCol w:w="109"/>
        <w:gridCol w:w="109"/>
        <w:gridCol w:w="211"/>
        <w:gridCol w:w="646"/>
        <w:gridCol w:w="109"/>
        <w:gridCol w:w="275"/>
        <w:gridCol w:w="629"/>
        <w:gridCol w:w="142"/>
        <w:gridCol w:w="253"/>
        <w:gridCol w:w="578"/>
        <w:gridCol w:w="130"/>
        <w:gridCol w:w="241"/>
        <w:gridCol w:w="551"/>
        <w:gridCol w:w="190"/>
      </w:tblGrid>
      <w:tr>
        <w:trPr/>
        <w:tc>
          <w:tcPr>
            <w:tcW w:w="99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 2025</w:t>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Consolidated</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Home and Commercial Solutions</w:t>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Learning and Development</w:t>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Outdoor and Recreation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Consolidated</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Home and Commercial Solutions</w:t>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Learning and Development</w:t>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Outdoor and Recreation</w:t>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Net sales </w:t>
            </w:r>
            <w:r>
              <w:rPr>
                <w:rFonts w:ascii="Arial;sans-serif" w:hAnsi="Arial;sans-serif"/>
                <w:b w:val="false"/>
                <w:color w:val="000000"/>
                <w:sz w:val="12"/>
              </w:rPr>
              <w:t>(a)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products sold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Segment SG&amp;A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Other segment costs </w:t>
            </w:r>
            <w:r>
              <w:rPr>
                <w:rFonts w:ascii="Arial;sans-serif" w:hAnsi="Arial;sans-serif"/>
                <w:b w:val="false"/>
                <w:color w:val="000000"/>
                <w:sz w:val="12"/>
              </w:rPr>
              <w:t>(b)</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Segment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308</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w:t>
            </w: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Corporate expenses </w:t>
            </w:r>
            <w:r>
              <w:rPr>
                <w:rFonts w:ascii="Arial;sans-serif" w:hAnsi="Arial;sans-serif"/>
                <w:b w:val="false"/>
                <w:color w:val="000000"/>
                <w:sz w:val="12"/>
              </w:rPr>
              <w:t>(c)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on extinguishment and modification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9"/>
        <w:gridCol w:w="432"/>
        <w:gridCol w:w="366"/>
        <w:gridCol w:w="211"/>
        <w:gridCol w:w="646"/>
        <w:gridCol w:w="109"/>
        <w:gridCol w:w="241"/>
        <w:gridCol w:w="740"/>
        <w:gridCol w:w="124"/>
        <w:gridCol w:w="229"/>
        <w:gridCol w:w="701"/>
        <w:gridCol w:w="118"/>
        <w:gridCol w:w="233"/>
        <w:gridCol w:w="532"/>
        <w:gridCol w:w="120"/>
        <w:gridCol w:w="109"/>
        <w:gridCol w:w="109"/>
        <w:gridCol w:w="109"/>
        <w:gridCol w:w="211"/>
        <w:gridCol w:w="646"/>
        <w:gridCol w:w="109"/>
        <w:gridCol w:w="241"/>
        <w:gridCol w:w="740"/>
        <w:gridCol w:w="124"/>
        <w:gridCol w:w="229"/>
        <w:gridCol w:w="701"/>
        <w:gridCol w:w="118"/>
        <w:gridCol w:w="232"/>
        <w:gridCol w:w="529"/>
        <w:gridCol w:w="177"/>
      </w:tblGrid>
      <w:tr>
        <w:trPr/>
        <w:tc>
          <w:tcPr>
            <w:tcW w:w="101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 2025</w:t>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Consolidated</w:t>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Home and Commercial Solutions</w:t>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Learning and Development</w:t>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Outdoor and Recreation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Consolidated</w:t>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Home and Commercial Solutions</w:t>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Learning and Development</w:t>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Outdoor and Recreation</w:t>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Net sales </w:t>
            </w:r>
            <w:r>
              <w:rPr>
                <w:rFonts w:ascii="Arial;sans-serif" w:hAnsi="Arial;sans-serif"/>
                <w:b w:val="false"/>
                <w:color w:val="000000"/>
                <w:sz w:val="12"/>
              </w:rPr>
              <w:t>(a)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products sold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Segment SG&amp;A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Other segment costs </w:t>
            </w:r>
            <w:r>
              <w:rPr>
                <w:rFonts w:ascii="Arial;sans-serif" w:hAnsi="Arial;sans-serif"/>
                <w:b w:val="false"/>
                <w:color w:val="000000"/>
                <w:sz w:val="12"/>
              </w:rPr>
              <w:t>(b)</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416</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300</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Corporate expenses </w:t>
            </w:r>
            <w:r>
              <w:rPr>
                <w:rFonts w:ascii="Arial;sans-serif" w:hAnsi="Arial;sans-serif"/>
                <w:b w:val="false"/>
                <w:color w:val="000000"/>
                <w:sz w:val="12"/>
              </w:rPr>
              <w:t>(c)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on extinguishment and modification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(a)All intercompany transactions have been eliminated.</w:t>
      </w:r>
    </w:p>
    <w:p>
      <w:pPr>
        <w:pStyle w:val="TextBody"/>
        <w:bidi w:val="0"/>
        <w:spacing w:lineRule="auto" w:line="288" w:before="0" w:after="0"/>
        <w:ind w:left="0" w:right="0" w:hanging="360"/>
        <w:jc w:val="both"/>
        <w:rPr/>
      </w:pPr>
      <w:r>
        <w:rPr>
          <w:rFonts w:ascii="Arial;sans-serif" w:hAnsi="Arial;sans-serif"/>
          <w:b w:val="false"/>
          <w:color w:val="000000"/>
          <w:sz w:val="16"/>
        </w:rPr>
        <w:t xml:space="preserve">(b)Other segment costs primarily include segment restructuring costs, net (see </w:t>
      </w:r>
      <w:r>
        <w:rPr>
          <w:rFonts w:ascii="Arial;sans-serif" w:hAnsi="Arial;sans-serif"/>
          <w:b w:val="false"/>
          <w:i/>
          <w:color w:val="000000"/>
          <w:sz w:val="16"/>
        </w:rPr>
        <w:t xml:space="preserve">Footnote 3 </w:t>
      </w:r>
      <w:r>
        <w:rPr>
          <w:rFonts w:ascii="Arial;sans-serif" w:hAnsi="Arial;sans-serif"/>
          <w:b w:val="false"/>
          <w:color w:val="000000"/>
          <w:sz w:val="16"/>
        </w:rPr>
        <w:t xml:space="preserve">for further information). </w:t>
      </w:r>
    </w:p>
    <w:p>
      <w:pPr>
        <w:pStyle w:val="TextBody"/>
        <w:bidi w:val="0"/>
        <w:spacing w:lineRule="auto" w:line="288" w:before="0" w:after="0"/>
        <w:ind w:left="0" w:right="0" w:hanging="360"/>
        <w:jc w:val="both"/>
        <w:rPr/>
      </w:pPr>
      <w:r>
        <w:rPr>
          <w:rFonts w:ascii="Arial;sans-serif" w:hAnsi="Arial;sans-serif"/>
          <w:b w:val="false"/>
          <w:color w:val="000000"/>
          <w:sz w:val="16"/>
        </w:rPr>
        <w:t xml:space="preserve">(c)Corporate expenses primarily include costs of operating as a public company, including retained costs of center-led corporate functions and corporate restructuring and restructuring-related costs (see </w:t>
      </w:r>
      <w:r>
        <w:rPr>
          <w:rFonts w:ascii="Arial;sans-serif" w:hAnsi="Arial;sans-serif"/>
          <w:b w:val="false"/>
          <w:i/>
          <w:color w:val="000000"/>
          <w:sz w:val="16"/>
        </w:rPr>
        <w:t>Footnote 3</w:t>
      </w:r>
      <w:r>
        <w:rPr>
          <w:color w:val="000000"/>
        </w:rPr>
        <w:t xml:space="preserve"> </w:t>
      </w:r>
      <w:r>
        <w:rPr>
          <w:rFonts w:ascii="Arial;sans-serif" w:hAnsi="Arial;sans-serif"/>
          <w:b w:val="false"/>
          <w:color w:val="000000"/>
          <w:sz w:val="16"/>
        </w:rPr>
        <w:t xml:space="preserve">for further information). In addition, corporate expense includes all share-based compensation and all adjustments, favorable or unfavorable, between the actual bonus achieved versus the bonus at target for center-led corporate functions, as well as all adjustments, favorable or unfavorable, between the actual share-based compensation achieved versus the share-based compensation at target for operating segment employees.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and amortization by segment are as follows (in millions):</w:t>
      </w:r>
    </w:p>
    <w:tbl>
      <w:tblPr>
        <w:tblW w:w="7367" w:type="dxa"/>
        <w:jc w:val="left"/>
        <w:tblInd w:w="0" w:type="dxa"/>
        <w:tblLayout w:type="fixed"/>
        <w:tblCellMar>
          <w:top w:w="28" w:type="dxa"/>
          <w:left w:w="28" w:type="dxa"/>
          <w:bottom w:w="28" w:type="dxa"/>
          <w:right w:w="28" w:type="dxa"/>
        </w:tblCellMar>
      </w:tblPr>
      <w:tblGrid>
        <w:gridCol w:w="1076"/>
        <w:gridCol w:w="945"/>
        <w:gridCol w:w="948"/>
        <w:gridCol w:w="257"/>
        <w:gridCol w:w="459"/>
        <w:gridCol w:w="133"/>
        <w:gridCol w:w="133"/>
        <w:gridCol w:w="133"/>
        <w:gridCol w:w="133"/>
        <w:gridCol w:w="257"/>
        <w:gridCol w:w="459"/>
        <w:gridCol w:w="133"/>
        <w:gridCol w:w="109"/>
        <w:gridCol w:w="109"/>
        <w:gridCol w:w="109"/>
        <w:gridCol w:w="211"/>
        <w:gridCol w:w="481"/>
        <w:gridCol w:w="109"/>
        <w:gridCol w:w="109"/>
        <w:gridCol w:w="109"/>
        <w:gridCol w:w="109"/>
        <w:gridCol w:w="211"/>
        <w:gridCol w:w="48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 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154</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Capital expenditures by segment are as follows (in millions):</w:t>
      </w:r>
    </w:p>
    <w:tbl>
      <w:tblPr>
        <w:tblW w:w="7262" w:type="dxa"/>
        <w:jc w:val="left"/>
        <w:tblInd w:w="0" w:type="dxa"/>
        <w:tblLayout w:type="fixed"/>
        <w:tblCellMar>
          <w:top w:w="28" w:type="dxa"/>
          <w:left w:w="28" w:type="dxa"/>
          <w:bottom w:w="28" w:type="dxa"/>
          <w:right w:w="28" w:type="dxa"/>
        </w:tblCellMar>
      </w:tblPr>
      <w:tblGrid>
        <w:gridCol w:w="1076"/>
        <w:gridCol w:w="945"/>
        <w:gridCol w:w="948"/>
        <w:gridCol w:w="257"/>
        <w:gridCol w:w="459"/>
        <w:gridCol w:w="133"/>
        <w:gridCol w:w="133"/>
        <w:gridCol w:w="133"/>
        <w:gridCol w:w="133"/>
        <w:gridCol w:w="257"/>
        <w:gridCol w:w="459"/>
        <w:gridCol w:w="133"/>
        <w:gridCol w:w="109"/>
        <w:gridCol w:w="109"/>
        <w:gridCol w:w="109"/>
        <w:gridCol w:w="211"/>
        <w:gridCol w:w="376"/>
        <w:gridCol w:w="109"/>
        <w:gridCol w:w="109"/>
        <w:gridCol w:w="109"/>
        <w:gridCol w:w="109"/>
        <w:gridCol w:w="211"/>
        <w:gridCol w:w="48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 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118</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212529"/>
          <w:sz w:val="20"/>
        </w:rPr>
      </w:pPr>
      <w:r>
        <w:rPr>
          <w:rFonts w:ascii="Arial;sans-serif" w:hAnsi="Arial;sans-serif"/>
          <w:b w:val="false"/>
          <w:color w:val="212529"/>
          <w:sz w:val="20"/>
        </w:rPr>
        <w:t xml:space="preserve">Assets by segment are as follows at (in millions): </w:t>
      </w:r>
    </w:p>
    <w:tbl>
      <w:tblPr>
        <w:tblW w:w="6550" w:type="dxa"/>
        <w:jc w:val="left"/>
        <w:tblInd w:w="0" w:type="dxa"/>
        <w:tblLayout w:type="fixed"/>
        <w:tblCellMar>
          <w:top w:w="28" w:type="dxa"/>
          <w:left w:w="28" w:type="dxa"/>
          <w:bottom w:w="28" w:type="dxa"/>
          <w:right w:w="28" w:type="dxa"/>
        </w:tblCellMar>
      </w:tblPr>
      <w:tblGrid>
        <w:gridCol w:w="1076"/>
        <w:gridCol w:w="945"/>
        <w:gridCol w:w="948"/>
        <w:gridCol w:w="269"/>
        <w:gridCol w:w="957"/>
        <w:gridCol w:w="139"/>
        <w:gridCol w:w="109"/>
        <w:gridCol w:w="109"/>
        <w:gridCol w:w="109"/>
        <w:gridCol w:w="357"/>
        <w:gridCol w:w="1272"/>
        <w:gridCol w:w="260"/>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3,771 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11,061</w:t>
            </w:r>
            <w:r>
              <w:rPr>
                <w:color w:val="000000"/>
              </w:rPr>
              <w:t>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10,715</w:t>
            </w:r>
            <w:r>
              <w:rPr>
                <w:color w:val="000000"/>
              </w:rPr>
              <w:t> </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val="false"/>
          <w:color w:val="000000"/>
          <w:sz w:val="20"/>
        </w:rPr>
        <w:t>The following table disaggregates net sales</w:t>
      </w: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 xml:space="preserve">by major product grouping for the periods indicated (in millions): </w:t>
      </w:r>
    </w:p>
    <w:p>
      <w:pPr>
        <w:pStyle w:val="TextBody"/>
        <w:bidi w:val="0"/>
        <w:spacing w:before="0" w:after="0"/>
        <w:jc w:val="both"/>
        <w:rPr/>
      </w:pPr>
      <w:r>
        <w:rPr/>
      </w:r>
    </w:p>
    <w:tbl>
      <w:tblPr>
        <w:tblW w:w="8159" w:type="dxa"/>
        <w:jc w:val="left"/>
        <w:tblInd w:w="0" w:type="dxa"/>
        <w:tblLayout w:type="fixed"/>
        <w:tblCellMar>
          <w:top w:w="28" w:type="dxa"/>
          <w:left w:w="28" w:type="dxa"/>
          <w:bottom w:w="28" w:type="dxa"/>
          <w:right w:w="28" w:type="dxa"/>
        </w:tblCellMar>
      </w:tblPr>
      <w:tblGrid>
        <w:gridCol w:w="1185"/>
        <w:gridCol w:w="1040"/>
        <w:gridCol w:w="104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 June 30,</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Kitchen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Home Fragrance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Home and Commercial Solutions </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1,704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Baby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Writing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Learning and Development</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Outdoor and Recreation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1,994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1,935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3,543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3,501</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following table disaggregates net sales</w:t>
      </w: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by geography</w:t>
      </w:r>
      <w:r>
        <w:rPr>
          <w:rFonts w:ascii="Arial;sans-serif" w:hAnsi="Arial;sans-serif"/>
          <w:b w:val="false"/>
          <w:color w:val="000000"/>
          <w:sz w:val="13"/>
        </w:rPr>
        <w:t>(b)</w:t>
      </w:r>
      <w:r>
        <w:rPr>
          <w:color w:val="000000"/>
        </w:rPr>
        <w:t xml:space="preserve"> </w:t>
      </w:r>
      <w:r>
        <w:rPr>
          <w:rFonts w:ascii="Arial;sans-serif" w:hAnsi="Arial;sans-serif"/>
          <w:b w:val="false"/>
          <w:color w:val="000000"/>
          <w:sz w:val="20"/>
        </w:rPr>
        <w:t>for the periods indicated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7"/>
        <w:gridCol w:w="641"/>
        <w:gridCol w:w="643"/>
        <w:gridCol w:w="109"/>
        <w:gridCol w:w="109"/>
        <w:gridCol w:w="109"/>
        <w:gridCol w:w="211"/>
        <w:gridCol w:w="646"/>
        <w:gridCol w:w="109"/>
        <w:gridCol w:w="109"/>
        <w:gridCol w:w="109"/>
        <w:gridCol w:w="109"/>
        <w:gridCol w:w="246"/>
        <w:gridCol w:w="755"/>
        <w:gridCol w:w="129"/>
        <w:gridCol w:w="109"/>
        <w:gridCol w:w="109"/>
        <w:gridCol w:w="109"/>
        <w:gridCol w:w="211"/>
        <w:gridCol w:w="646"/>
        <w:gridCol w:w="109"/>
        <w:gridCol w:w="109"/>
        <w:gridCol w:w="109"/>
        <w:gridCol w:w="109"/>
        <w:gridCol w:w="211"/>
        <w:gridCol w:w="646"/>
        <w:gridCol w:w="109"/>
        <w:gridCol w:w="109"/>
        <w:gridCol w:w="109"/>
        <w:gridCol w:w="109"/>
        <w:gridCol w:w="246"/>
        <w:gridCol w:w="755"/>
        <w:gridCol w:w="129"/>
        <w:gridCol w:w="109"/>
        <w:gridCol w:w="109"/>
        <w:gridCol w:w="109"/>
        <w:gridCol w:w="211"/>
        <w:gridCol w:w="646"/>
        <w:gridCol w:w="157"/>
      </w:tblGrid>
      <w:tr>
        <w:trPr/>
        <w:tc>
          <w:tcPr>
            <w:tcW w:w="78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 2025</w:t>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International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TOTAL</w:t>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1,340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654</w:t>
            </w:r>
            <w:r>
              <w:rPr>
                <w:color w:val="000000"/>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1,994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652</w:t>
            </w:r>
            <w:r>
              <w:rPr>
                <w:color w:val="000000"/>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1,935</w:t>
            </w:r>
            <w:r>
              <w:rPr>
                <w:color w:val="000000"/>
              </w:rPr>
              <w:t>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International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TOTAL</w:t>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Home and Commercial Solutions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2,335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1,208</w:t>
            </w:r>
            <w:r>
              <w:rPr>
                <w:color w:val="000000"/>
              </w:rPr>
              <w:t>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3,543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2,303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1,198</w:t>
            </w:r>
            <w:r>
              <w:rPr>
                <w:color w:val="000000"/>
              </w:rPr>
              <w:t>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3,501</w:t>
            </w: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(a)All intercompany transactions have been eliminated.</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(b)</w:t>
      </w:r>
      <w:r>
        <w:rPr>
          <w:rFonts w:ascii="Arial;sans-serif" w:hAnsi="Arial;sans-serif"/>
          <w:b w:val="false"/>
          <w:color w:val="000000"/>
          <w:sz w:val="16"/>
        </w:rPr>
        <w:t xml:space="preserve">Geographic sales information is based on the region from which the products are shipped and invoiced.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14 — Litigation and Contingencies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subject to various claims and lawsuits in the ordinary course of business, including from time to time, contractual disputes, employment and environmental matters, product and general liability claims, claims that the Company has infringed on the intellectual property rights of others, and consumer and employment class actions. Some of the legal proceedings include claims for punitive as well as compensatory damages. In the ordinary course of business, the Company is also subject to legislative requests, regulatory and governmental examinations, information requests and subpoenas, inquiries, investigations, and threatened legal actions and proceedings. In connection with such formal and informal inquiries, the Company receives numerous requests, subpoenas, and orders for documents, testimony and information in connection with various aspects of its activities.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party to two certified class actions that relate to the Baby business in its L&amp;D segment, alleging that the Company made misrepresentations in advertising claims with respect to certain products and seeking damages based on a price premium and statutory damages, where applicable, for each product sold. The first case is pending in United States District Court for the Northern District of Illinois. In that case, the district court certified classes for ten states. The second case is pending in the United States District Court for the Northern District of Georgia. In that case, the district court certified classes for three states. For these matters, the Company has determined that a loss is reasonably possible; however, the Company is unable to estimate a range of possible loss due to unresolved questions of fact and law. As the Company does not believe that any loss is probable in either case, the Company has not recorded a reserve for either of these matters. The Company intends to vigorously defend these matters; however, it is possible that an adverse outcome in either matter could be material to the Company’s financial results.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manufacturer and distributor of consumer products, the Company is subject to product liability claims, in particular with respect to its Baby business in the L&amp;D segment and its Kitchen business in H&amp;CS segment. Although the Company maintains product liability insurance in amounts that it believes are reasonable, that insurance is, in most cases, subject to significant self-insured retentions for which the Company is responsible, and the Company cannot assure that it will be able to maintain such insurance on acceptable terms, if at all, in the future, that product liability claims will not exceed the amount of insurance coverage or that any such losses will not be material.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involved in various matters concerning federal, state and foreign environmental laws and regulations, including matters in which the Company has been identified by the U.S. Environmental Protection Agency (“U.S. EPA”) and certain state environmental agencies as a potentially responsible party (“PRP”) at contaminated sites under the Comprehensive Environmental Response Compensation and Liability Act (“CERCLA”) and equivalent state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assessing its environmental response costs, the Company has considered several factors, including the extent of the Company’s volumetric contribution at each site relative to that of other PRPs; the kind of waste; the terms of existing cost sharing and other applicable agreements; the financial ability of other PRPs to share in the payment of requisite costs; the Company’s prior experience with similar sites; environmental studies and cost estimates available to the Company; the effects of inflation on cost estimates; and the extent to which the Company’s, and other parties’ status as PRPs is disputed.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estimate of environmental remediation costs associated with these matters at June 30, 2026 was $31 million which is included in other accrued liabilities and other noncurrent liabilities in the Consolidated Balance Sheets. No insurance recovery was taken into account in determining the Company’s cost estimates or reserves, nor do the Company’s cost estimates or reserves reflect any discounting for present value purposes, except with respect to certain long-term operations and maintenance CERCLA matters. 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Lower Passaic River Matter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Over 100 entities, including the Company and its subsidiary, Berol Corporation (together, the “Company Parties”), have been identified as PRPs at the Diamond Alkali Superfund Site (the “Site”) pursuant to CERCLA. The Site is divided into four “operable units,” and the Company Parties have received notice letters in connection with Operable Unit 4 and Operable Unit 2 (which is geographically subsumed within Operable Unit 4). The U.S. EPA has issued records of decision for Operable Units 2 and 4 with selected remedies that it has estimated to cost approximately $1.80 billion in the aggregate. In September 2017, the U.S. EPA announced an allocation process involving roughly 80 PRPs, with the intent of offering cash-out settlements to a number of parties. The allocation process has concluded, and the Company Parties were placed in the lowest tier of relative responsibility among allocation parties. On January 31, 2024, U.S. EPA filed a motion to enter a modified consent decree to resolve the liability of the Company Parties and other settlement parties for past and future CERCLA response costs at Operable Unit 2 and Operable Unit 4 (“Consent Decree”), which the court granted on December 18, 2024 (the "Consent Decree Litigation"). The Court’s order entering the Consent Decree has been appealed. As of the date of this filing, the Company does not expect that its share of payments toward the Consent Decree, if the Consent Decree is upheld following appellate review, will be material to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2018, Occidental Chemical Corporation (“OCC”), a New York corporation, sued over 100 parties, including the Company Parties, in the U.S. District Court in New Jersey pursuant to CERCLA, requesting cost recovery, including past and future costs for investigation, design and remediation of Units 2 and 4, as well as contribution and a declaratory judgment (the “OCC Litigation”). The defendants, in turn, filed claims against 42 third-party defendants and counterclaims against OCC. OCC has also stated that it anticipates asserting claims against defendants regarding Newark Bay, which is also part of the Site, after the U.S. EPA has selected the Newark Bay remedy. The OCC Litigation is stayed pending the Court’s adjudication of the entry of the Consent Decree. At this time, the Company cannot predict the eventual outcome of the OCC 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September 2025, OCC merged with and into an affiliated Texas limited liability company, and the surviving entity changed its name to Occidental Chemical Company, LLC. That entity then executed a divisional merger, splitting into two entities: Environmental Resource Holdings, LLC (“ERH”), and Occidental Chemical Corporation, a Texas corporation (“OCC TX”). Counsel for OCC in the Consent Decree Litigation filed an updated corporate disclosure, asserting that OCC “is now known as Environmental Resource Holdings LLC.” On February 6, 2026, 35 companies filed a complaint against OCC TX in the U.S. District Court in New Jersey, alleging that OCC’s valuable assets were transferred to OCC TX, not ERH, and requesting a declaratory judgment that OCC TX is jointly and severally liable for OCC’s CERCLA liabilities.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federal trustees, including the U.S. Department of Commerce and Department of the Interior, continue to undertake a Natural Resource Damage Assessment with respect to the Site, having previously identified the Company Parties, along with numerous other entities, as PRPs.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Based on currently known facts and circumstances, the Company does not believe that the Lower Passaic River matter is reasonably likely to have a material impact on the Company’s results of operations. However, in the event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one or more adverse determinations related to this matter, including the OCC Litigation and Natural Resource Damage Assessment noted above (for which the Company cannot currently estimate the range of possible losses), it is possible that the ultimate liability resulting from this matter and the impact on the Company’s results of operations could be material. 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Tariff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February 20, 2026, the U.S. Supreme Court ruled that IEEPA does not authorize the imposition of tariffs, invalidating tariffs imposed under that statute in 2025 and early 2026 (“IEEPA Tariffs”). The ruling, however, did not address the availability, timing or mechanics of potential refunds. On March 4, 2026, the U.S. Court of International Trade (“CIT”) directed U.S. Customs and Border Protection (“CBP”) to facilitate refunds of IEEPA Tariffs. Subsequently, CBP commenced development of a process to facilitate the refund of previously paid IEEPA Tariffs, including applicable interest. Since the invalidation of the IEEPA Tariffs, the U.S. presidential administration has imposed additional new tariffs affecting the Company on a temporary basis under Section 122 of the Trade Act of 1974 and on a long-term basis under Section 301 of the Trade Act of 1974 and has also proposed the imposition of additional tariffs under Section 301.</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paid approximately $120 million and $20 million of IEEPA Tariffs during 2025 and 2026, respectively. The Company evaluated the probability and recoverability of IEEPA Tariffs previously paid and concluded that recovery was probable. Accordingly, during the second quarter of 2026, the Company recorded a receivable for the amounts previously paid, representing its best estimate of the expected refund for IEEPA Tariffs, with a corresponding reduction primarily to cost of products sold. During the second quarter of 2026, the Company recorded a pretax benefit of approximately $100 million related to IEEPA Tariffs expensed in the Company's Condensed Consolidated Statement of Operations in 2025 and a $38 million pretax benefit related to IEEPA Tariffs expensed in the Company’s Condensed Consolidated Statement of Operations for the six months ended June 30, 2026 (including $26 million expensed during the first quarter of 2026). The aggregate IEEPA Tariffs receivable and an immaterial amount of interest, were recorded within prepaid expenses and other current assets in the Condensed Consolidated Balance Sheet as of June 30, 2026. See </w:t>
      </w:r>
      <w:r>
        <w:rPr>
          <w:rFonts w:ascii="Arial;sans-serif" w:hAnsi="Arial;sans-serif"/>
          <w:b w:val="false"/>
          <w:i/>
          <w:color w:val="000000"/>
          <w:sz w:val="20"/>
        </w:rPr>
        <w:t>Footnote 7</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been named as a defendant in two putative class action lawsuits filed on May 22, 2026 and July 6, 2026 in the United States District Court for the Northern District of Georgia, alleging that the Company received windfall profits due to price increases taken in response to the invalidated IEEPA Tariffs and seeking a return of the above described IEEPA Tariff refund to affected consumers. The Company intends to vigorously defend this litigation.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normal course of business and as part of its acquisition and divestiture strategy, the Company may provide certain representations and indemnifications related to legal, environmental, product liability, tax or other types of issues. Based on the nature of these representations and indemnifications, it is not possible to predict the maximum potential payments under all of these agreements due to the conditional nature of the Company’s obligations and the unique facts and circumstances involved in each particular agreement. Historically, payments made by the Company under these agreements did not have a material effect on the Company’s business, financial condition or results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Company’s sale of The United States Playing Card Company (“USPC”), Cartamundi, Inc. and Cartamundi España, S.L., (the “Buyers”) have notified the Company of their contention that certain representations and warranties in the Stock Purchase Agreement, dated June 4, 2019, were inaccurate and/or breached, and have sought indemnification to the extent that the Buyers are required to pay related damages arising out of a third party lawsuit that was recently filed against USPC.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Although the Company cannot predict the ultimate outcome of other proceedings with certainty, it believes that the ultimate resolution of the Company’s proceedings, including any amounts it may be required to pay in excess of amounts reserved, will not have a material effect on the Company’s Consolidated Financial Statements, except as otherwise described in this </w:t>
      </w:r>
      <w:r>
        <w:rPr>
          <w:rFonts w:ascii="Arial;sans-serif" w:hAnsi="Arial;sans-serif"/>
          <w:b w:val="false"/>
          <w:i/>
          <w:color w:val="000000"/>
          <w:sz w:val="20"/>
        </w:rPr>
        <w:t>Footnote 14</w:t>
      </w:r>
      <w:r>
        <w:rPr>
          <w:rFonts w:ascii="Arial;sans-serif" w:hAnsi="Arial;sans-serif"/>
          <w:b w:val="false"/>
          <w:color w:val="000000"/>
          <w:sz w:val="20"/>
        </w:rPr>
        <w:t xml:space="preser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Footnote 10</w:t>
      </w:r>
      <w:r>
        <w:rPr>
          <w:color w:val="000000"/>
        </w:rPr>
        <w:t xml:space="preserve"> </w:t>
      </w:r>
      <w:r>
        <w:rPr>
          <w:rFonts w:ascii="Arial;sans-serif" w:hAnsi="Arial;sans-serif"/>
          <w:b w:val="false"/>
          <w:color w:val="000000"/>
          <w:sz w:val="20"/>
        </w:rPr>
        <w:t xml:space="preserve">for information concerning certain proceedings currently pending in the U.S. Tax Court.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June 30, 2026, the Company had approximately $59 million in standby letters of credit primarily related to the Company’s self-insurance programs, including workers’ compensation, product liability and medical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Footnote 15 — Subsequent Event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30, 2026 (the “Closing Date”), the Company, Newell Brands Ireland Services DAC, as a subsidiary borrower, and certain domestic and foreign subsidiary guarantors (the “New Guarantors”), entered into a five-year asset-based revolving facility (the “New ABL Credit Facility”) with a syndicate of banks led by JPMorgan Chase Bank, N.A., as administrative agent, pursuant to an ABL credit agreement governing the New ABL Credit Facility (the “New ABL Credit Agreement”). The New ABL Credit Agreement provides for the New ABL Credit Facility in the amount of up to $800 million, subject to a borrowing base comprised of, without limitation, qualified cash, accounts receivable, inventory, equipment and intellectual property. The New ABL Credit Agreement also includes an uncommitted accordion feature whereby the Company can request certain lenders to increase commitments under the New ABL Credit Facility by an aggregate amount not to exceed $500 million subject to certain conditions. Borrowings under the New ABL Credit Agreement may be used for working capital needs and other general corporate purposes, including, on the Closing Date, the repayment and replacement of the Credit Revolver. On the Closing Date, the Company incurred $490 million of borrowings and used $490 million of such borrowings under the New ABL Credit Agreement to repay borrowings under and refinance and replace the Credit Revolver.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New ABL Credit Agreement (i) requires the Company to satisfy a Consolidated Fixed Charge Coverage Ratio (as defined in the New ABL Credit Agreement) if borrowings exceed certain levels relative to capacity on each date during certain compliance testing periods and (ii) requires the Company and the New Guarantors to grant a lien and security interest in certain assets consisting of, without limitation, deposit accounts, accounts receivable, inventory, equipment, intellectual property and certain other assets related to the foregoing in Eligible Jurisdictions (as defined in the New ABL Credit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New ABL Credit Facility matures on the earlier of (i) July 30, 2031, as such date may be extended in accordance with the New ABL Credit Agreement, and (ii) solely to the extent that any indebtedness in an aggregate principal amount of $125 million or more (“Material Indebtedness”) is outstanding as of the 91st day prior to the then earliest scheduled maturity date of such Material Indebtedness and each day thereafter until and including the scheduled maturity date of such Material Indebtedness, the date that is 91 days prior to the then-stated maturity date of such Material Indebtedness.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outstanding borrowings under the New ABL Credit Facility, availability under the New ABL Credit Facility is subject to change in accordance with the terms of the New ABL Credit Agreement, including in response to changes in the Company’s borrowing base or outstanding letters of credit under the New ABL Credit Facility. At the Closing Date, there was $754 million of availability under the New ABL Credit Facility, based on the borrowing base and prior to giving effect to outstanding borrowings and letters of credit. The New ABL Credit Facility provides for the issuance of up to $150 million of letters of credit, so long as there is sufficient availability for borrowing under the New ABL Credit Facility. As of the Closing Date, the Company had approximately $48 million of outstanding standby letters of credit issued against the New ABL Credit Facility and $490 million of outstanding borrowings under the New ABL Credit Facility, resulting in a net availability of approximately $216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discussion and analysis provides information which management believes is relevant to an assessment and understanding of Newell Brands Inc.’s (“Newell Brands,” the “Company,” “we,” “us” or “our”) consolidated financial condition and results of operations. The discussion should be read in conjunction with the accompanying condensed consolidated financial statements and notes thereto.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report contains forward-looking statements within the meaning of the federal securities law. These statements generally can be identified by the use of words such as “intend,” “anticipate,” “believe,” “estimate,” “project,” “target,” “plan,” “expect,” “setting up,” “beginning to,” “will,” “should,” “would,” “could,” “resume,” “are confident that,” “remain optimistic that,” “seek to,” or similar statements. The Company cautions that forward-looking statements are not guarantees because there are inherent difficulties in predicting future results. Actual results may differ materially from those expressed or implied in the forward-looking statements. Important factors that could cause actual results to differ materially from those suggested by the forward-looking statements include, but are not limited to:</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ability to optimize costs and cash flow and mitigate the impact of soft global demand and retailers’ inventory rebalancing through discretionary and overhead spend management, advertising and promotion expense optimization, demand forecast and supply plan adjustments and actions to improve working capital;</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dependence on the strength of retail and consumer demand and commercial and industrial sectors of the economy in various countries around the world;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ability to improve productivity, reduce complexity and streamline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risks related to the Company’s substantial indebtedness and current leverage profile, ability to refinance upcoming bond maturities on favorable terms or at all, and potential increases in interest rates or changes in the Company’s credit ratings including the failure to maintain financial covenants which if breached could subject us to cross-default and acceleration provisions in our debt documents;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on the Company’s operations and financial condition resulting from the current global macroeconomic environment, including the impact of tariffs imposed by the U.S. and retaliatory tariffs imposed by foreign countries, and the Company’s ability to effectively execute its mitigation plans;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competition with other manufacturers and distributors of consumer products;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major retailers’ strong bargaining power and consolidation of the Company’s customers;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supply chain and operational disruptions in the markets in which we operate, including as a result of geopolitical and macroeconomic conditions and any global military conflicts including those between Russia and Ukraine and in the Middle East;</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changes in the prices and availability of labor, transportation, raw materials and sourced products, including significant inflation, and oil price volatility, and the Company’s ability to offset cost increases through pricing and productivity in a timely manner;</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ability to effectively execute its turnaround plan, including the Productivity Plan announced in December 2025 and other restructuring and cost saving initiatives;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the Company’s ability to develop innovative new products, to develop, maintain and strengthen end-user brands and to realize the benefits of increased advertising and promotion spend;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risks inherent to the Company’s foreign operations, including currency fluctuations, exchange controls and pricing restrictions;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future events that could adversely affect the value of the Company’s assets and/or stock price and require additional impairment charges;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unexpected costs or expenses associated with dispositions;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the cost and outcomes of governmental investigations, inspections, lawsuits, legislative requests or other actions by third parties, including but not limited to those described in </w:t>
      </w:r>
      <w:r>
        <w:rPr>
          <w:rFonts w:ascii="Arial;sans-serif" w:hAnsi="Arial;sans-serif"/>
          <w:b w:val="false"/>
          <w:i/>
          <w:color w:val="000000"/>
          <w:sz w:val="20"/>
        </w:rPr>
        <w:t>Footnote 14 of the Notes to Unaudited Condensed Consolidated Financial Statements</w:t>
      </w:r>
      <w:r>
        <w:rPr>
          <w:rFonts w:ascii="Arial;sans-serif" w:hAnsi="Arial;sans-serif"/>
          <w:b w:val="false"/>
          <w:color w:val="000000"/>
          <w:sz w:val="20"/>
        </w:rPr>
        <w:t xml:space="preserve">, the potential outcomes of which could exceed policy limits, to the extent insured;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ability to maintain effective internal control over financial reporting;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risk associated with the use of artificial intelligence in the Company’s operations and the Company’s ability to properly manage such use;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a failure or breach of one of the Company’s key information technology systems, networks, processes or related controls or those of the Company’s service providers;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U.S. and foreign regulations on the Company’s operations, including environmental remediation costs and legislation and regulatory actions related to product safety, data privacy and climate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potential inability to attract, retain and motivate key employees;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changes in tax laws and the resolution of tax contingencies resulting in additional tax liabilities;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product liability, product recalls or related regulatory actions;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Company’s ability to protect its intellectual property rights;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climate change and the increased focus of governmental and non-governmental organizations and customers on sustainability issues, as well as external expectations related to environmental, social and governance considerations;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significant increases in the funding obligations related to the Company’s pension plans; and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other factors listed from time to time in our SEC filings, including but not limited to our Annual Reports on Form 10-K, Quarterly Reports on Form 10-Q and other filings.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contained in this Report is as of the date indicated. The Company assumes no obligation to update any forward-looking statements contained in this Report as a result of new information or future events or developments. In addition, there can be no assurance that the Company has correctly identified and assessed all of the factors affecting the Company or that the publicly available and other information the Company receives with respect to these factors is complete or correct.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Newell Brands Inc.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more than 45 of these countries, excluding third-party distributors. The Company has three operating segments: Home and Commercial Solutions (“H&amp;CS”), </w:t>
      </w:r>
      <w:r>
        <w:rPr>
          <w:rFonts w:ascii="Arial;sans-serif" w:hAnsi="Arial;sans-serif"/>
          <w:b w:val="false"/>
          <w:color w:val="000000"/>
          <w:sz w:val="20"/>
          <w:shd w:fill="FFFFFF" w:val="clear"/>
        </w:rPr>
        <w:t>Learning and Development (“L&amp;D”) and Outdoor and Recreation (“O&amp;R”).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Business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continues to execute the strategic priorities identified through its 2023 comprehensive capability assessment. These priorities, grounded in defined “where to play” and “how to win” choices, are intended to drive sustainable improvement in revenue performance, margins and cash flow through a redesigned operating model, targeted talent investments and a renewed culture.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remains in the execution phase of its multi</w:t>
        <w:noBreakHyphen/>
        <w:t>year transformation. The Company believes that actions taken during 2025 strengthened foundational capabilities across innovation, brand building, productivity and commercial execution, and the Company expects the benefits of these initiatives to continue to phase in over time.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Execution of the Company’s strategy continues amid a dynamic operating environment, including shifting consumer preferences, heightened competitive intensity, changes in retailer inventory and promotional behavior, increased adoption of digital and artificial intelligence</w:t>
        <w:noBreakHyphen/>
        <w:t>enabled tools, macroeconomic and geopolitical volatility, cumulative inflationary pressures on consumers, rising oil and other raw material prices, tariffs imposed by the U.S. in 2025 and early 2026 as well as other countries’ related retaliatory actions, and an evolving regulatory landscape. The Company continues to deploy mitigation actions, including pricing optimization, productivity initiatives and strategic manufacturing relocations, where appropriate.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operating focus remains on disciplined execution of its key priorities, including driving top</w:t>
        <w:noBreakHyphen/>
        <w:t>line improvement over time through product and commercial innovation and brand investment; protecting margins through productivity, procurement savings, overhead management and disciplined reinvestment; further deleveraging the balance sheet; improving cash flow and balance sheet strength through working capital management and capital allocation; and enhancing commercial and operational execution through complexity reduction, technology standardization, Enterprise Resource Planning System (ERP) consolidation, stock-keeping unit (SKU) rationalization and supply chain optimization.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part of these efforts, in December 2025 the Company announced a global productivity plan (the “Productivity Plan”) to further simplify processes, streamline overhead and reallocate resources to higher</w:t>
        <w:noBreakHyphen/>
        <w:t xml:space="preserve">value activities, including workforce reductions and retail footprint optimization. Employee separations in the U.S. were mostly executed by the end of 2025, with international actions expected to occur in 2026, subject to applicable local law and consultation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requirements. The Company also closed approximately 20 Yankee Candle stores in the U.S. and Canada in January 2026.</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the Company continues to review its operating footprint and portfolio of non-core brands, which will result in future restructuring and restructuring-related charges.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Update on Tariffs and Geopolitical Conflicts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February 20, 2026, the U.S. Supreme Court ruled that the International Emergency Economic Powers Act does not authorize the imposition of tariffs, invalidating tariffs imposed under that statute in 2025 and early 2026 (the “IEEPA Tariffs”). The ruling, however, did not address the availability, timing or mechanics of potential refunds. On March 4, 2026, the U.S. Court of International Trade (the “CIT”) directed U.S. Customs and Border Protection (the “CBP”) to facilitate refunds of IEEPA Tariffs. Subsequently, CBP commenced development of a process to facilitate the refund of previously paid IEEPA Tariffs, including applicable interest. Since the invalidation of the IEEPA Tariffs, the U.S. presidential administration has imposed additional new tariffs affecting the Company on a temporary basis under Section 122 of the Trade Act of 1974 and on a long-term basis under Section 301 of the Trade Act of 1974, and has also proposed the imposition of additional tariffs under Section 301.</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Company paid approximately $120 million and $20 million of IEEPA Tariffs during 2025 and 2026, respectively. The Company evaluated the probability and recoverability of IEEPA Tariffs previously paid and concluded that recovery was probable. Accordingly, during the second quarter of 2026, the Company recorded a receivable for the amounts previously paid, representing its best estimate of the expected refund for IEEPA Tariffs, with a corresponding reduction primarily to cost of products sold. During the second quarter of 2026, the Company recorded a pretax benefit of approximately $100 million related to IEEPA Tariffs expensed in the Company's Condensed Consolidated Statement of Operations in 2025 and a $38 million pretax benefit related to IEEPA Tariffs expensed in the Company’s Condensed Consolidated Statement of Operations for the six months ended June 30, 2026 (including $26 million expensed during the first quarter of 2026).The aggregate IEEPA Tariffs receivable and an immaterial amount of interest, were recorded within prepaid expenses and other current assets in the Condensed Consolidated Balance Sheet as of June 30, 2026. See </w:t>
      </w:r>
      <w:r>
        <w:rPr>
          <w:rFonts w:ascii="Arial;sans-serif" w:hAnsi="Arial;sans-serif"/>
          <w:b w:val="false"/>
          <w:i/>
          <w:color w:val="000000"/>
          <w:sz w:val="20"/>
        </w:rPr>
        <w:t>Footnote 14 of the Notes to Unaudited Condensed Consolidated Financial Statements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Global economic conditions continue to be adversely affected by ongoing geopolitical conflicts, including the Russia</w:t>
        <w:noBreakHyphen/>
        <w:t>Ukraine and the Middle East conflicts. The Company has experienced increased costs for raw materials, transportation, energy, and commodity costs, driven in part by elevated fuel prices and global macroeconomic pressures. The continuation or escalation of geopolitical tensions, including expanded trade restrictions, sanctions, or other barriers to global trade, could adversely affect the Company by disrupting its supply chain (including changes in prices and availability of transportation, raw materials and sourced products), reducing consumer demand, increasing volatility in foreign exchange rates and financial markets, and contributing to localized or global economic downturns.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continues to operate in a highly uncertain trade environment. Uncertainty remains regarding the potential long-term replacement of the IEEPA Tariffs and the scope and duration of any such replacement tariffs and other U.S. tariffs, as well as the risk of retaliatory actions by other countries and the evolving legal landscape. Changes in trade policy, related legal challenges and geopolitical responses could adversely affect the Company’s costs, supply chain, operating results and financial condition.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See “</w:t>
      </w:r>
      <w:r>
        <w:rPr>
          <w:rFonts w:ascii="Arial;sans-serif" w:hAnsi="Arial;sans-serif"/>
          <w:b w:val="false"/>
          <w:i/>
          <w:color w:val="000000"/>
          <w:sz w:val="20"/>
        </w:rPr>
        <w:t>Results of Operations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Footnotes 1 and 14 of the Notes to Unaudited Condensed Consolidated Financial Statements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Credit Revolver Refinancing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On July 30, 2026 (the “Closing Date”), the Company, Newell Brands Ireland Services DAC, as a subsidiary borrower, and certain domestic and foreign subsidiary guarantors entered into a five-year asset-based revolving facility (the “New ABL Credit Facility”) with a syndicate of banks led by JPMorgan Chase Bank, N.A., as administrative agent, pursuant to an ABL credit agreement governing the New ABL Credit Facility (the “New ABL Credit Agreement”). The New ABL Credit Agreement provides for the New ABL Credit Facility in the amount of up to $800 million, subject to a borrowing base comprised of, without limitation, qualified cash, accounts receivable, inventory, equipment and intellectual property. The New ABL Credit Agreement also includes an uncommitted accordion feature whereby the Company can request certain lenders to increase commitments under the New ABL Credit Facility by an aggregate amount not to exceed $500 million, subject to certain conditions. Borrowings under the New ABL Credit Agreement may be used for working capital needs and other general corporate purposes, including, on the Closing Date, the repayment and replacement of the Credit Revolver (defined hereafter). On the Closing Date, the Company incurred $490 million of borrowings and used $490 million of such borrowings under the New ABL Credit Agreement to repay borrowings under and refinance and replace the Credit Revolver. See </w:t>
      </w:r>
      <w:r>
        <w:rPr>
          <w:rFonts w:ascii="Arial;sans-serif" w:hAnsi="Arial;sans-serif"/>
          <w:b w:val="false"/>
          <w:i/>
          <w:color w:val="000000"/>
          <w:sz w:val="20"/>
        </w:rPr>
        <w:t>Footnotes 8 and 15 of the Notes to Unaudited Condensed Consolidated Financial Statements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 2026 vs. Three Months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Consolidated Operating Results</w:t>
      </w:r>
    </w:p>
    <w:p>
      <w:pPr>
        <w:pStyle w:val="TextBody"/>
        <w:bidi w:val="0"/>
        <w:spacing w:before="0" w:after="0"/>
        <w:jc w:val="both"/>
        <w:rPr/>
      </w:pPr>
      <w:r>
        <w:rPr/>
      </w:r>
    </w:p>
    <w:tbl>
      <w:tblPr>
        <w:tblW w:w="9674" w:type="dxa"/>
        <w:jc w:val="left"/>
        <w:tblInd w:w="0" w:type="dxa"/>
        <w:tblLayout w:type="fixed"/>
        <w:tblCellMar>
          <w:top w:w="28" w:type="dxa"/>
          <w:left w:w="28" w:type="dxa"/>
          <w:bottom w:w="28" w:type="dxa"/>
          <w:right w:w="28" w:type="dxa"/>
        </w:tblCellMar>
      </w:tblPr>
      <w:tblGrid>
        <w:gridCol w:w="1574"/>
        <w:gridCol w:w="1379"/>
        <w:gridCol w:w="1382"/>
        <w:gridCol w:w="211"/>
        <w:gridCol w:w="646"/>
        <w:gridCol w:w="286"/>
        <w:gridCol w:w="109"/>
        <w:gridCol w:w="109"/>
        <w:gridCol w:w="109"/>
        <w:gridCol w:w="211"/>
        <w:gridCol w:w="646"/>
        <w:gridCol w:w="286"/>
        <w:gridCol w:w="109"/>
        <w:gridCol w:w="109"/>
        <w:gridCol w:w="109"/>
        <w:gridCol w:w="295"/>
        <w:gridCol w:w="527"/>
        <w:gridCol w:w="154"/>
        <w:gridCol w:w="109"/>
        <w:gridCol w:w="109"/>
        <w:gridCol w:w="109"/>
        <w:gridCol w:w="321"/>
        <w:gridCol w:w="321"/>
        <w:gridCol w:w="454"/>
      </w:tblGrid>
      <w:tr>
        <w:trPr/>
        <w:tc>
          <w:tcPr>
            <w:tcW w:w="15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(in millions)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3.0%</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18.5%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Gross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40.7 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35.4 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65.5%</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14.2 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8.8 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6.1%</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extinguishment and modification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(100.0)%</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(80.0)%</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NM</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Income tax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45.6 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35.2 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NM</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0.25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NM - NOT MEANINGFUL</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sales for the three months ended June 30, 2026 increased approximately 3%. Net sales were favorably impacted by contributions from launches of product innovation, distribution gains and stronger demand in certain markets. These favorable factors were partially offset by soft international demand. Changes in foreign currency favorably impacted net sales by $20 million, or 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Gross profit increased by approximately $127 million, or 19% compared to the prior year. Gross margin improved to 40.7% as compared with 35.4% in the prior year, reflecting the recognition of a refund of approximately $100 million and $26 million related to IEEPA Tariffs that were expensed in 2025 and the first quarter of 2026, respectively.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profit also benefited from an increase in net sales and gross productivity that slightly more than offset inflationary pressures.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Notable items, other than those noted above, impacting operating income for the three months ended June 30, 2026 and 2025 were as follows (in millions):</w:t>
      </w:r>
    </w:p>
    <w:p>
      <w:pPr>
        <w:pStyle w:val="TextBody"/>
        <w:bidi w:val="0"/>
        <w:spacing w:before="0" w:after="0"/>
        <w:jc w:val="both"/>
        <w:rPr/>
      </w:pPr>
      <w:r>
        <w:rPr/>
      </w:r>
    </w:p>
    <w:tbl>
      <w:tblPr>
        <w:tblW w:w="7329" w:type="dxa"/>
        <w:jc w:val="left"/>
        <w:tblInd w:w="0" w:type="dxa"/>
        <w:tblLayout w:type="fixed"/>
        <w:tblCellMar>
          <w:top w:w="28" w:type="dxa"/>
          <w:left w:w="28" w:type="dxa"/>
          <w:bottom w:w="28" w:type="dxa"/>
          <w:right w:w="28" w:type="dxa"/>
        </w:tblCellMar>
      </w:tblPr>
      <w:tblGrid>
        <w:gridCol w:w="1598"/>
        <w:gridCol w:w="1405"/>
        <w:gridCol w:w="1407"/>
        <w:gridCol w:w="349"/>
        <w:gridCol w:w="623"/>
        <w:gridCol w:w="180"/>
        <w:gridCol w:w="180"/>
        <w:gridCol w:w="180"/>
        <w:gridCol w:w="180"/>
        <w:gridCol w:w="349"/>
        <w:gridCol w:w="623"/>
        <w:gridCol w:w="255"/>
      </w:tblGrid>
      <w:tr>
        <w:trPr/>
        <w:tc>
          <w:tcPr>
            <w:tcW w:w="15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Restructuring and restructuring-related costs </w:t>
            </w:r>
            <w:r>
              <w:rPr>
                <w:rFonts w:ascii="Arial;sans-serif" w:hAnsi="Arial;sans-serif"/>
                <w:b w:val="false"/>
                <w:color w:val="000000"/>
                <w:sz w:val="13"/>
              </w:rPr>
              <w:t>(a) (b)</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Transaction costs and other </w:t>
            </w:r>
            <w:r>
              <w:rPr>
                <w:rFonts w:ascii="Arial;sans-serif" w:hAnsi="Arial;sans-serif"/>
                <w:b w:val="false"/>
                <w:color w:val="000000"/>
                <w:sz w:val="13"/>
              </w:rPr>
              <w:t>(c)</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w:t>
            </w:r>
            <w:r>
              <w:rPr>
                <w:color w:val="000000"/>
              </w:rPr>
              <w:t>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w:t>
            </w:r>
            <w:r>
              <w:rPr>
                <w:color w:val="000000"/>
              </w:rPr>
              <w:t> </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(a)See </w:t>
      </w:r>
      <w:r>
        <w:rPr>
          <w:rFonts w:ascii="Arial;sans-serif" w:hAnsi="Arial;sans-serif"/>
          <w:b w:val="false"/>
          <w:i/>
          <w:color w:val="000000"/>
          <w:sz w:val="16"/>
        </w:rPr>
        <w:t>Footnote 3 of the Notes to Unaudited Condensed Consolidated Financial Statements</w:t>
      </w:r>
      <w:r>
        <w:rPr>
          <w:color w:val="000000"/>
        </w:rPr>
        <w:t xml:space="preserve"> </w:t>
      </w:r>
      <w:r>
        <w:rPr>
          <w:rFonts w:ascii="Arial;sans-serif" w:hAnsi="Arial;sans-serif"/>
          <w:b w:val="false"/>
          <w:color w:val="000000"/>
          <w:sz w:val="16"/>
        </w:rPr>
        <w:t>for further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(b)Restructuring-related costs reported in cost of sales for the three months ended June 30, 2026 was $1 million, primarily related to facility closures associated with previously announced but substantially completed restructuring activities. For the three months ended June 30, 2025, restructuring-related costs reported in cost of products sold and selling, general and administrative expense (“SG&amp;A”) were $1 million and $5 million, respectively, and primarily related to facility closures associated with various discrete initiatives as well as previously announced but substantially completed restructuring activities.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(c)Transaction and other costs for the three months ended June 30, 2026 primarily related to expenses for certain legal proceedings and completed divestitures. Transaction and other costs for the three months ended June 30, 2025 primarily related to hyperinflationary currency movements.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was $283 million, compared to $171 million in the prior year period. The improvement primarily reflects the factors that contributed to the $127 million increase in gross profit, savings from restructuring actions related to the Productivity Plan, and lower consulting and other professional service costs. These favorable impacts were partially offset by a $17 million increase in incentive compensation primarily due to improved performance relative to targets under the Company’s Management Bonus Plan and a $9 million increase in advertising and promotion spending to support new market entry initiatives and new product launches.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Interest expense, net increased by $5 million due to higher interest rates and lower interest income. The weighted average interest rates for the three months ended June 30, 2026 and 2025 were approximately 6.8% and 6.3%, respectively. See </w:t>
      </w:r>
      <w:r>
        <w:rPr>
          <w:rFonts w:ascii="Arial;sans-serif" w:hAnsi="Arial;sans-serif"/>
          <w:b w:val="false"/>
          <w:i/>
          <w:color w:val="000000"/>
          <w:sz w:val="20"/>
        </w:rPr>
        <w:t>Footnote 8 of the Notes to Unaudited Condensed Consolidated Financial Statements</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expense, net for three months ended June 30, 2026 and 2025 includes the following items (in millions):</w:t>
      </w:r>
    </w:p>
    <w:p>
      <w:pPr>
        <w:pStyle w:val="TextBody"/>
        <w:bidi w:val="0"/>
        <w:spacing w:before="0" w:after="0"/>
        <w:jc w:val="both"/>
        <w:rPr/>
      </w:pPr>
      <w:r>
        <w:rPr/>
      </w:r>
    </w:p>
    <w:tbl>
      <w:tblPr>
        <w:tblW w:w="5893" w:type="dxa"/>
        <w:jc w:val="left"/>
        <w:tblInd w:w="0" w:type="dxa"/>
        <w:tblLayout w:type="fixed"/>
        <w:tblCellMar>
          <w:top w:w="28" w:type="dxa"/>
          <w:left w:w="28" w:type="dxa"/>
          <w:bottom w:w="28" w:type="dxa"/>
          <w:right w:w="28" w:type="dxa"/>
        </w:tblCellMar>
      </w:tblPr>
      <w:tblGrid>
        <w:gridCol w:w="1075"/>
        <w:gridCol w:w="946"/>
        <w:gridCol w:w="949"/>
        <w:gridCol w:w="397"/>
        <w:gridCol w:w="510"/>
        <w:gridCol w:w="205"/>
        <w:gridCol w:w="205"/>
        <w:gridCol w:w="205"/>
        <w:gridCol w:w="205"/>
        <w:gridCol w:w="397"/>
        <w:gridCol w:w="510"/>
        <w:gridCol w:w="289"/>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exchange losses, net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Discount on factored receivables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income tax provision for the three months ended June 30, 2026 was $89 million, compared to $25 million for the three months ended June 30, 2025. The Company’s effective income tax rates for the three months ended June 30, 2026 and 2025 were 45.6% and 35.2%, respectively. The income tax provision for the three months ended June 30, 2026 was impacted by certain discrete items, including a $24 million discrete tax expense, primarily attributable to the tax effect of the IEEPA Tariff refund recognized during the quarter for amounts previously expensed in 2025. See </w:t>
      </w:r>
      <w:r>
        <w:rPr>
          <w:rFonts w:ascii="Arial;sans-serif" w:hAnsi="Arial;sans-serif"/>
          <w:b w:val="false"/>
          <w:i/>
          <w:color w:val="000000"/>
          <w:sz w:val="20"/>
        </w:rPr>
        <w:t>Footnote 10 of the Notes to Unaudited Condensed Consolidated Financial Statements</w:t>
      </w:r>
      <w:r>
        <w:rPr>
          <w:color w:val="000000"/>
        </w:rPr>
        <w:t xml:space="preserve"> </w:t>
      </w:r>
      <w:r>
        <w:rPr>
          <w:rFonts w:ascii="Arial;sans-serif" w:hAnsi="Arial;sans-serif"/>
          <w:b w:val="false"/>
          <w:color w:val="000000"/>
          <w:sz w:val="20"/>
        </w:rPr>
        <w:t xml:space="preserve">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Business Segment Operating Results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Home and Commercial Solutions</w:t>
      </w:r>
    </w:p>
    <w:p>
      <w:pPr>
        <w:pStyle w:val="TextBody"/>
        <w:bidi w:val="0"/>
        <w:spacing w:before="0" w:after="0"/>
        <w:jc w:val="both"/>
        <w:rPr/>
      </w:pPr>
      <w:r>
        <w:rPr/>
      </w:r>
    </w:p>
    <w:tbl>
      <w:tblPr>
        <w:tblW w:w="6404" w:type="dxa"/>
        <w:jc w:val="left"/>
        <w:tblInd w:w="0" w:type="dxa"/>
        <w:tblLayout w:type="fixed"/>
        <w:tblCellMar>
          <w:top w:w="28" w:type="dxa"/>
          <w:left w:w="28" w:type="dxa"/>
          <w:bottom w:w="28" w:type="dxa"/>
          <w:right w:w="28" w:type="dxa"/>
        </w:tblCellMar>
      </w:tblPr>
      <w:tblGrid>
        <w:gridCol w:w="598"/>
        <w:gridCol w:w="525"/>
        <w:gridCol w:w="527"/>
        <w:gridCol w:w="211"/>
        <w:gridCol w:w="481"/>
        <w:gridCol w:w="286"/>
        <w:gridCol w:w="109"/>
        <w:gridCol w:w="109"/>
        <w:gridCol w:w="109"/>
        <w:gridCol w:w="211"/>
        <w:gridCol w:w="481"/>
        <w:gridCol w:w="286"/>
        <w:gridCol w:w="109"/>
        <w:gridCol w:w="109"/>
        <w:gridCol w:w="109"/>
        <w:gridCol w:w="259"/>
        <w:gridCol w:w="462"/>
        <w:gridCol w:w="135"/>
        <w:gridCol w:w="109"/>
        <w:gridCol w:w="109"/>
        <w:gridCol w:w="109"/>
        <w:gridCol w:w="281"/>
        <w:gridCol w:w="281"/>
        <w:gridCol w:w="399"/>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u w:val="single"/>
              </w:rPr>
            </w:pPr>
            <w:r>
              <w:rPr>
                <w:rFonts w:ascii="Arial;sans-serif" w:hAnsi="Arial;sans-serif"/>
                <w:b/>
                <w:color w:val="000000"/>
                <w:sz w:val="16"/>
                <w:u w:val="single"/>
              </w:rPr>
              <w:t>(in millions)</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5.4 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NM - NOT MEANINGFUL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H&amp;CS net sales for the three months ended June 30, 2026 increased approximately 1%, reflecting contributions from launches of product innovations, modest recovery in the Kitchen business and favorable order timing, as retailers shifted orders from first quarter to second quarter of 2026, primarily in connection with key reset events. These were largely offset by soft international demand. Changes in foreign currency also favorably impacted net sales by $18 million, or approximately 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Operating income for the three months ended June 30, 2026 was $49 million as compared to $24 million in the prior year, reflecting the recording of a refund of approximately $30 million and $11 million associated with IEEPA Tariffs expensed in 2025 and the first quarter of 2026, respectively. In addition, higher advertising and promotion expense, which increased by approximately $7 million, to support product launches and inflationary pressures, more than offset benefits from productivity and savings from restructuring actions.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Learning and Development </w:t>
      </w:r>
    </w:p>
    <w:p>
      <w:pPr>
        <w:pStyle w:val="TextBody"/>
        <w:bidi w:val="0"/>
        <w:spacing w:before="0" w:after="0"/>
        <w:jc w:val="both"/>
        <w:rPr/>
      </w:pPr>
      <w:r>
        <w:rPr/>
      </w:r>
    </w:p>
    <w:tbl>
      <w:tblPr>
        <w:tblW w:w="6404" w:type="dxa"/>
        <w:jc w:val="left"/>
        <w:tblInd w:w="0" w:type="dxa"/>
        <w:tblLayout w:type="fixed"/>
        <w:tblCellMar>
          <w:top w:w="28" w:type="dxa"/>
          <w:left w:w="28" w:type="dxa"/>
          <w:bottom w:w="28" w:type="dxa"/>
          <w:right w:w="28" w:type="dxa"/>
        </w:tblCellMar>
      </w:tblPr>
      <w:tblGrid>
        <w:gridCol w:w="598"/>
        <w:gridCol w:w="525"/>
        <w:gridCol w:w="527"/>
        <w:gridCol w:w="211"/>
        <w:gridCol w:w="481"/>
        <w:gridCol w:w="286"/>
        <w:gridCol w:w="109"/>
        <w:gridCol w:w="109"/>
        <w:gridCol w:w="109"/>
        <w:gridCol w:w="211"/>
        <w:gridCol w:w="481"/>
        <w:gridCol w:w="286"/>
        <w:gridCol w:w="109"/>
        <w:gridCol w:w="109"/>
        <w:gridCol w:w="109"/>
        <w:gridCol w:w="259"/>
        <w:gridCol w:w="462"/>
        <w:gridCol w:w="135"/>
        <w:gridCol w:w="109"/>
        <w:gridCol w:w="109"/>
        <w:gridCol w:w="109"/>
        <w:gridCol w:w="281"/>
        <w:gridCol w:w="281"/>
        <w:gridCol w:w="399"/>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u w:val="single"/>
              </w:rPr>
            </w:pPr>
            <w:r>
              <w:rPr>
                <w:rFonts w:ascii="Arial;sans-serif" w:hAnsi="Arial;sans-serif"/>
                <w:b/>
                <w:color w:val="000000"/>
                <w:sz w:val="16"/>
                <w:u w:val="single"/>
              </w:rPr>
              <w:t>(in millions)</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5.2%</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36.2 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25.0 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L&amp;D net sales for the three months ended June 30, 2026 increased approximately 5%. Net sales increased in both the Baby and the Writing businesses. The increase in the Baby business was primarily driven by contributions from launches of product innovation and improved replenishment orders from major retailers. The increase in the Writing business was due to contributions from launches of product innovations and net distribution gains. Changes in foreign currency favorably impacted net sales by $3 million, or approximately less than 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for the three months ended June 30, 2026 increased to $308 million as compared to $202 million in the prior-year period, reflecting the recording of a refund of approximately $63 million and $14 million associated with IEEPA Tariffs expensed in 2025 and the first quarter of 2026, respectively. The improvement in operating results was also due to higher net sales and gross productivity. These favorable factors were partially offset by inflationary pressures.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Outdoor and Recreation </w:t>
      </w:r>
    </w:p>
    <w:p>
      <w:pPr>
        <w:pStyle w:val="TextBody"/>
        <w:bidi w:val="0"/>
        <w:spacing w:before="0" w:after="0"/>
        <w:jc w:val="both"/>
        <w:rPr/>
      </w:pPr>
      <w:r>
        <w:rPr/>
      </w:r>
    </w:p>
    <w:tbl>
      <w:tblPr>
        <w:tblW w:w="6404" w:type="dxa"/>
        <w:jc w:val="left"/>
        <w:tblInd w:w="0" w:type="dxa"/>
        <w:tblLayout w:type="fixed"/>
        <w:tblCellMar>
          <w:top w:w="28" w:type="dxa"/>
          <w:left w:w="28" w:type="dxa"/>
          <w:bottom w:w="28" w:type="dxa"/>
          <w:right w:w="28" w:type="dxa"/>
        </w:tblCellMar>
      </w:tblPr>
      <w:tblGrid>
        <w:gridCol w:w="598"/>
        <w:gridCol w:w="525"/>
        <w:gridCol w:w="527"/>
        <w:gridCol w:w="211"/>
        <w:gridCol w:w="481"/>
        <w:gridCol w:w="286"/>
        <w:gridCol w:w="109"/>
        <w:gridCol w:w="109"/>
        <w:gridCol w:w="109"/>
        <w:gridCol w:w="211"/>
        <w:gridCol w:w="481"/>
        <w:gridCol w:w="286"/>
        <w:gridCol w:w="109"/>
        <w:gridCol w:w="109"/>
        <w:gridCol w:w="109"/>
        <w:gridCol w:w="305"/>
        <w:gridCol w:w="392"/>
        <w:gridCol w:w="159"/>
        <w:gridCol w:w="109"/>
        <w:gridCol w:w="109"/>
        <w:gridCol w:w="109"/>
        <w:gridCol w:w="281"/>
        <w:gridCol w:w="281"/>
        <w:gridCol w:w="399"/>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u w:val="single"/>
              </w:rPr>
            </w:pPr>
            <w:r>
              <w:rPr>
                <w:rFonts w:ascii="Arial;sans-serif" w:hAnsi="Arial;sans-serif"/>
                <w:b/>
                <w:color w:val="000000"/>
                <w:sz w:val="16"/>
                <w:u w:val="single"/>
              </w:rPr>
              <w:t>(in millions)</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2.6%</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(50.0)%</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3.4 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O&amp;R net sales for the three months ended June 30, 2026 increased approximately 3%, mainly reflecting contributions from launches of product innovations and net distribution gains. The impact of changes in foreign currency to net sales was immaterial.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for the three months ended June 30, 2026 was $4 million as compared to $8 million in the prior-year period. The decrease primarily reflects a $4 million increase in advertising and promotion spending to support new market entry initiatives and new product launches. Operating income benefited from the recording of a refund of approximately $7 million associated with IEEPA Tariffs expensed in 2025, which was partially offset by inflationary pressures.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 2026 vs. Six Months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Consolidated Operating Results</w:t>
      </w:r>
    </w:p>
    <w:p>
      <w:pPr>
        <w:pStyle w:val="TextBody"/>
        <w:bidi w:val="0"/>
        <w:spacing w:before="0" w:after="0"/>
        <w:jc w:val="both"/>
        <w:rPr/>
      </w:pPr>
      <w:r>
        <w:rPr/>
      </w:r>
    </w:p>
    <w:tbl>
      <w:tblPr>
        <w:tblW w:w="9674" w:type="dxa"/>
        <w:jc w:val="left"/>
        <w:tblInd w:w="0" w:type="dxa"/>
        <w:tblLayout w:type="fixed"/>
        <w:tblCellMar>
          <w:top w:w="28" w:type="dxa"/>
          <w:left w:w="28" w:type="dxa"/>
          <w:bottom w:w="28" w:type="dxa"/>
          <w:right w:w="28" w:type="dxa"/>
        </w:tblCellMar>
      </w:tblPr>
      <w:tblGrid>
        <w:gridCol w:w="1574"/>
        <w:gridCol w:w="1379"/>
        <w:gridCol w:w="1382"/>
        <w:gridCol w:w="211"/>
        <w:gridCol w:w="646"/>
        <w:gridCol w:w="286"/>
        <w:gridCol w:w="109"/>
        <w:gridCol w:w="109"/>
        <w:gridCol w:w="109"/>
        <w:gridCol w:w="211"/>
        <w:gridCol w:w="646"/>
        <w:gridCol w:w="286"/>
        <w:gridCol w:w="109"/>
        <w:gridCol w:w="109"/>
        <w:gridCol w:w="109"/>
        <w:gridCol w:w="295"/>
        <w:gridCol w:w="527"/>
        <w:gridCol w:w="154"/>
        <w:gridCol w:w="109"/>
        <w:gridCol w:w="109"/>
        <w:gridCol w:w="109"/>
        <w:gridCol w:w="321"/>
        <w:gridCol w:w="321"/>
        <w:gridCol w:w="454"/>
      </w:tblGrid>
      <w:tr>
        <w:trPr/>
        <w:tc>
          <w:tcPr>
            <w:tcW w:w="15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(in millions)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11.5%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Gross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37.4 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33.9 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65.1%</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8.9 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5.5 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11.0%</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extinguishment and modification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(100.0)%</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33.3%</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NM</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Income tax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45.5 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43.8 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NM</w:t>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0.17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NM - NOT MEANINGFUL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sales for the six months ended June 30, 2026 increased approximately 1%. Net sales were favorably impacted by launches of product innovations across all segments, stronger demand in certain markets and favorable net pricing including a $25 million contribution from a refinement of estimates related to customer programs, reflecting better claims experience and improved deduction management. These favorable factors were offset by soft international demand. Changes in foreign currency favorably impacted net sales by $62 million, or 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Gross profit increased by approximately $137 million, or 12% compared to the prior year. Gross margin improved to 37.4% as compared with 33.9% in the prior year, reflecting the recognition of a refund of approximately $100 million related to IEEPA Tariffs that were expensed in 2025. Gross profit was also favorably impacted by net pricing actions including the $25 million contribution related to customer programs discussed above and gross productivity, which were partially offset by inflationary pressures. Changes in foreign currency exchange rates favorably impacted gross profit by $11 million, approximately 1%.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Notable items, other than those noted above, impacting operating income for the six months ended June 30, 2026 and 2025 were as follows (in millions):</w:t>
      </w:r>
    </w:p>
    <w:p>
      <w:pPr>
        <w:pStyle w:val="TextBody"/>
        <w:bidi w:val="0"/>
        <w:spacing w:before="0" w:after="0"/>
        <w:jc w:val="both"/>
        <w:rPr/>
      </w:pPr>
      <w:r>
        <w:rPr/>
      </w:r>
    </w:p>
    <w:tbl>
      <w:tblPr>
        <w:tblW w:w="7105" w:type="dxa"/>
        <w:jc w:val="left"/>
        <w:tblInd w:w="0" w:type="dxa"/>
        <w:tblLayout w:type="fixed"/>
        <w:tblCellMar>
          <w:top w:w="28" w:type="dxa"/>
          <w:left w:w="28" w:type="dxa"/>
          <w:bottom w:w="28" w:type="dxa"/>
          <w:right w:w="28" w:type="dxa"/>
        </w:tblCellMar>
      </w:tblPr>
      <w:tblGrid>
        <w:gridCol w:w="1598"/>
        <w:gridCol w:w="1405"/>
        <w:gridCol w:w="1407"/>
        <w:gridCol w:w="323"/>
        <w:gridCol w:w="575"/>
        <w:gridCol w:w="166"/>
        <w:gridCol w:w="166"/>
        <w:gridCol w:w="166"/>
        <w:gridCol w:w="166"/>
        <w:gridCol w:w="323"/>
        <w:gridCol w:w="575"/>
        <w:gridCol w:w="235"/>
      </w:tblGrid>
      <w:tr>
        <w:trPr/>
        <w:tc>
          <w:tcPr>
            <w:tcW w:w="15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Restructuring and restructuring-related costs </w:t>
            </w:r>
            <w:r>
              <w:rPr>
                <w:rFonts w:ascii="Arial;sans-serif" w:hAnsi="Arial;sans-serif"/>
                <w:b w:val="false"/>
                <w:color w:val="000000"/>
                <w:sz w:val="13"/>
              </w:rPr>
              <w:t>(a) (b)</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Transaction costs and other </w:t>
            </w:r>
            <w:r>
              <w:rPr>
                <w:rFonts w:ascii="Arial;sans-serif" w:hAnsi="Arial;sans-serif"/>
                <w:b w:val="false"/>
                <w:color w:val="000000"/>
                <w:sz w:val="13"/>
              </w:rPr>
              <w:t>(c)</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w:t>
            </w:r>
            <w:r>
              <w:rPr>
                <w:color w:val="000000"/>
              </w:rPr>
              <w:t>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w:t>
            </w:r>
            <w:r>
              <w:rPr>
                <w:color w:val="000000"/>
              </w:rPr>
              <w:t>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(a)See </w:t>
      </w:r>
      <w:r>
        <w:rPr>
          <w:rFonts w:ascii="Arial;sans-serif" w:hAnsi="Arial;sans-serif"/>
          <w:b w:val="false"/>
          <w:i/>
          <w:color w:val="000000"/>
          <w:sz w:val="16"/>
        </w:rPr>
        <w:t>Footnote 3 of the Notes to Unaudited Condensed Consolidated Financial Statements</w:t>
      </w:r>
      <w:r>
        <w:rPr>
          <w:color w:val="000000"/>
        </w:rPr>
        <w:t xml:space="preserve"> </w:t>
      </w:r>
      <w:r>
        <w:rPr>
          <w:rFonts w:ascii="Arial;sans-serif" w:hAnsi="Arial;sans-serif"/>
          <w:b w:val="false"/>
          <w:color w:val="000000"/>
          <w:sz w:val="16"/>
        </w:rPr>
        <w:t>for further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(b)Restructuring-related costs reported in cost of sales and SG&amp;A for the six months ended June 30, 2026 was $1 million each, primarily related to facility closures associated various discrete initiatives. For the six months ended June 30, 2025, restructuring-related costs reported in cost of products sold and SG&amp;A were $4 million and $16 million, respectively, and primarily related to facility closures associated with various discrete initiatives as well as previously announced but substantially completed restructuring activities.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(c)Transaction and other costs for the six months ended June 30, 2026 primarily related to expense for certain legal proceedings and completed divestitures. Transaction and other costs for the six months ended June 30, 2025 primarily related to hyperinflationary currency movements.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was $317 million, compared to $192 million in the prior year period. The improvement primarily reflects the factors that contributed to $137 million increase in gross profit, savings from restructuring actions related to the Productivity Plan, and lower consulting and other professional service costs. These favorable impacts were partially offset by a $17 million increase in incentive compensation primarily due to improved performance relative to targets under the Company’s Management Bonus Plan and a $14 million increase in advertising and promotion spending to support new market entry initiatives and new product launches.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Interest expense, net increased by $17 million due to higher interest rates and lower interest income. The weighted average interest rates for the six months ended June 30, 2026 and 2025 were approximately 6.8% and 6.2%, respectively. See </w:t>
      </w:r>
      <w:r>
        <w:rPr>
          <w:rFonts w:ascii="Arial;sans-serif" w:hAnsi="Arial;sans-serif"/>
          <w:b w:val="false"/>
          <w:i/>
          <w:color w:val="000000"/>
          <w:sz w:val="20"/>
        </w:rPr>
        <w:t>Footnote 8 of the Notes to Unaudited Condensed Consolidated Financial Statements</w:t>
      </w:r>
      <w:r>
        <w:rPr>
          <w:color w:val="000000"/>
        </w:rPr>
        <w:t xml:space="preserve"> </w:t>
      </w:r>
      <w:r>
        <w:rPr>
          <w:rFonts w:ascii="Arial;sans-serif" w:hAnsi="Arial;sans-serif"/>
          <w:b w:val="false"/>
          <w:color w:val="000000"/>
          <w:sz w:val="20"/>
        </w:rPr>
        <w:t>for further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expense, net for six months ended June 30, 2026 and 2025 includes the following items (in millions):</w:t>
      </w:r>
    </w:p>
    <w:p>
      <w:pPr>
        <w:pStyle w:val="TextBody"/>
        <w:bidi w:val="0"/>
        <w:spacing w:before="0" w:after="0"/>
        <w:jc w:val="both"/>
        <w:rPr/>
      </w:pPr>
      <w:r>
        <w:rPr/>
      </w:r>
    </w:p>
    <w:tbl>
      <w:tblPr>
        <w:tblW w:w="5667" w:type="dxa"/>
        <w:jc w:val="left"/>
        <w:tblInd w:w="0" w:type="dxa"/>
        <w:tblLayout w:type="fixed"/>
        <w:tblCellMar>
          <w:top w:w="28" w:type="dxa"/>
          <w:left w:w="28" w:type="dxa"/>
          <w:bottom w:w="28" w:type="dxa"/>
          <w:right w:w="28" w:type="dxa"/>
        </w:tblCellMar>
      </w:tblPr>
      <w:tblGrid>
        <w:gridCol w:w="1075"/>
        <w:gridCol w:w="946"/>
        <w:gridCol w:w="949"/>
        <w:gridCol w:w="343"/>
        <w:gridCol w:w="612"/>
        <w:gridCol w:w="177"/>
        <w:gridCol w:w="177"/>
        <w:gridCol w:w="177"/>
        <w:gridCol w:w="177"/>
        <w:gridCol w:w="343"/>
        <w:gridCol w:w="441"/>
        <w:gridCol w:w="250"/>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exchange losses, net</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Discount on factored receivables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w:t>
            </w:r>
            <w:r>
              <w:rPr>
                <w:color w:val="000000"/>
              </w:rPr>
              <w:t>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income tax provision for the six months ended June 30, 2026 was $61 million, compared to $7 million for the six months ended June 30, 2025. The Company’s effective income tax rates for the six months ended June 30, 2026 and 2025 were 45.5% and 43.8% respectively. The income tax provision for the six months ended June 30, 2026 was impacted by certain discrete items, including a $24 million discrete tax expense primarily attributable to the tax effect of IEEPA Tariff refund recognized during the quarter, for amounts previously expensed in 2025. See </w:t>
      </w:r>
      <w:r>
        <w:rPr>
          <w:rFonts w:ascii="Arial;sans-serif" w:hAnsi="Arial;sans-serif"/>
          <w:b w:val="false"/>
          <w:i/>
          <w:color w:val="000000"/>
          <w:sz w:val="20"/>
        </w:rPr>
        <w:t>Footnote 10 of the Notes to Unaudited Condensed Consolidated Financial Statements</w:t>
      </w:r>
      <w:r>
        <w:rPr>
          <w:color w:val="000000"/>
        </w:rPr>
        <w:t xml:space="preserve"> </w:t>
      </w:r>
      <w:r>
        <w:rPr>
          <w:rFonts w:ascii="Arial;sans-serif" w:hAnsi="Arial;sans-serif"/>
          <w:b w:val="false"/>
          <w:color w:val="000000"/>
          <w:sz w:val="20"/>
        </w:rPr>
        <w:t xml:space="preserve">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Business Segment Operating Results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Home and Commercial Solutions</w:t>
      </w:r>
    </w:p>
    <w:p>
      <w:pPr>
        <w:pStyle w:val="TextBody"/>
        <w:bidi w:val="0"/>
        <w:spacing w:before="0" w:after="0"/>
        <w:jc w:val="both"/>
        <w:rPr/>
      </w:pPr>
      <w:r>
        <w:rPr/>
      </w:r>
    </w:p>
    <w:tbl>
      <w:tblPr>
        <w:tblW w:w="6734" w:type="dxa"/>
        <w:jc w:val="left"/>
        <w:tblInd w:w="0" w:type="dxa"/>
        <w:tblLayout w:type="fixed"/>
        <w:tblCellMar>
          <w:top w:w="28" w:type="dxa"/>
          <w:left w:w="28" w:type="dxa"/>
          <w:bottom w:w="28" w:type="dxa"/>
          <w:right w:w="28" w:type="dxa"/>
        </w:tblCellMar>
      </w:tblPr>
      <w:tblGrid>
        <w:gridCol w:w="598"/>
        <w:gridCol w:w="525"/>
        <w:gridCol w:w="527"/>
        <w:gridCol w:w="211"/>
        <w:gridCol w:w="646"/>
        <w:gridCol w:w="286"/>
        <w:gridCol w:w="109"/>
        <w:gridCol w:w="109"/>
        <w:gridCol w:w="109"/>
        <w:gridCol w:w="211"/>
        <w:gridCol w:w="646"/>
        <w:gridCol w:w="286"/>
        <w:gridCol w:w="109"/>
        <w:gridCol w:w="109"/>
        <w:gridCol w:w="109"/>
        <w:gridCol w:w="259"/>
        <w:gridCol w:w="462"/>
        <w:gridCol w:w="135"/>
        <w:gridCol w:w="109"/>
        <w:gridCol w:w="109"/>
        <w:gridCol w:w="109"/>
        <w:gridCol w:w="281"/>
        <w:gridCol w:w="281"/>
        <w:gridCol w:w="399"/>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u w:val="single"/>
              </w:rPr>
            </w:pPr>
            <w:r>
              <w:rPr>
                <w:rFonts w:ascii="Arial;sans-serif" w:hAnsi="Arial;sans-serif"/>
                <w:b/>
                <w:color w:val="000000"/>
                <w:sz w:val="16"/>
                <w:u w:val="single"/>
              </w:rPr>
              <w:t>(in millions)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NM - NOT MEANINGFUL</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H&amp;CS net sales for the six months ended June 30, 2026 decreased approximately 1%, reflecting soft demand in the Commercial and Home Fragrance businesses. These factors were partially offset by product innovation launches, modest recovery in the Kitchen business and favorable net pricing including a $17 million contribution from a refinement of estimates related to customer programs. Changes in foreign currency favorably impacted net sales by $44 million, or approximately 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for the six months ended June 30, 2026 was $46 million as compared to $22 million in the prior year, reflecting the recording of a refund of approximately $30 million associated with IEEPA Tariffs expensed in 2025. In addition, operating income also increased due to net pricing actions, including the $17 million contribution related to customer programs discussed above, gross productivity and savings from restructuring actions. These favorable factors were partially offset by inflationary pressures and higher advertising and promotion expense, which increased by approximately $5 million to support product launches.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Learning and Development </w:t>
      </w:r>
    </w:p>
    <w:p>
      <w:pPr>
        <w:pStyle w:val="TextBody"/>
        <w:bidi w:val="0"/>
        <w:spacing w:before="0" w:after="0"/>
        <w:jc w:val="both"/>
        <w:rPr/>
      </w:pPr>
      <w:r>
        <w:rPr/>
      </w:r>
    </w:p>
    <w:tbl>
      <w:tblPr>
        <w:tblW w:w="6734" w:type="dxa"/>
        <w:jc w:val="left"/>
        <w:tblInd w:w="0" w:type="dxa"/>
        <w:tblLayout w:type="fixed"/>
        <w:tblCellMar>
          <w:top w:w="28" w:type="dxa"/>
          <w:left w:w="28" w:type="dxa"/>
          <w:bottom w:w="28" w:type="dxa"/>
          <w:right w:w="28" w:type="dxa"/>
        </w:tblCellMar>
      </w:tblPr>
      <w:tblGrid>
        <w:gridCol w:w="598"/>
        <w:gridCol w:w="525"/>
        <w:gridCol w:w="527"/>
        <w:gridCol w:w="211"/>
        <w:gridCol w:w="646"/>
        <w:gridCol w:w="286"/>
        <w:gridCol w:w="109"/>
        <w:gridCol w:w="109"/>
        <w:gridCol w:w="109"/>
        <w:gridCol w:w="211"/>
        <w:gridCol w:w="646"/>
        <w:gridCol w:w="286"/>
        <w:gridCol w:w="109"/>
        <w:gridCol w:w="109"/>
        <w:gridCol w:w="109"/>
        <w:gridCol w:w="259"/>
        <w:gridCol w:w="462"/>
        <w:gridCol w:w="135"/>
        <w:gridCol w:w="109"/>
        <w:gridCol w:w="109"/>
        <w:gridCol w:w="109"/>
        <w:gridCol w:w="281"/>
        <w:gridCol w:w="281"/>
        <w:gridCol w:w="399"/>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u w:val="single"/>
              </w:rPr>
            </w:pPr>
            <w:r>
              <w:rPr>
                <w:rFonts w:ascii="Arial;sans-serif" w:hAnsi="Arial;sans-serif"/>
                <w:b/>
                <w:color w:val="000000"/>
                <w:sz w:val="16"/>
                <w:u w:val="single"/>
              </w:rPr>
              <w:t>(in millions)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4.6%</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38.7%</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28.8 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21.7 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L&amp;D net sales for the six months ended June 30, 2026 increased approximately 5%. Net sales increased in both the Baby and the Writing businesses. The increase in the Baby business was primarily driven by contributions from launches of product innovation and distribution gains. The increase in the Writing business was due to contributions from launches of product innovations, net distribution gains and favorable net pricing including a $7 million contribution from a refinement of estimates related to customer programs. Changes in foreign currency favorably impacted net sales by $14 million, or approximately 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for the six months ended June 30, 2026 increased to $416 million as compared to $300 million in the prior-year period, reflecting the recording of a refund of approximately $63 million associated with IEEPA Tariffs expensed in 2025. The improvement in operating results is also due to higher net sales, gross productivity and net pricing actions, including the $7 million contribution related to customer programs discussed above. These favorable factors were partially offset by inflationary pressures.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Outdoor and Recreation </w:t>
      </w:r>
    </w:p>
    <w:p>
      <w:pPr>
        <w:pStyle w:val="TextBody"/>
        <w:bidi w:val="0"/>
        <w:spacing w:before="0" w:after="0"/>
        <w:jc w:val="both"/>
        <w:rPr/>
      </w:pPr>
      <w:r>
        <w:rPr/>
      </w:r>
    </w:p>
    <w:tbl>
      <w:tblPr>
        <w:tblW w:w="6944" w:type="dxa"/>
        <w:jc w:val="left"/>
        <w:tblInd w:w="0" w:type="dxa"/>
        <w:tblLayout w:type="fixed"/>
        <w:tblCellMar>
          <w:top w:w="28" w:type="dxa"/>
          <w:left w:w="28" w:type="dxa"/>
          <w:bottom w:w="28" w:type="dxa"/>
          <w:right w:w="28" w:type="dxa"/>
        </w:tblCellMar>
      </w:tblPr>
      <w:tblGrid>
        <w:gridCol w:w="794"/>
        <w:gridCol w:w="697"/>
        <w:gridCol w:w="699"/>
        <w:gridCol w:w="211"/>
        <w:gridCol w:w="481"/>
        <w:gridCol w:w="286"/>
        <w:gridCol w:w="109"/>
        <w:gridCol w:w="109"/>
        <w:gridCol w:w="109"/>
        <w:gridCol w:w="211"/>
        <w:gridCol w:w="481"/>
        <w:gridCol w:w="286"/>
        <w:gridCol w:w="109"/>
        <w:gridCol w:w="109"/>
        <w:gridCol w:w="109"/>
        <w:gridCol w:w="305"/>
        <w:gridCol w:w="392"/>
        <w:gridCol w:w="159"/>
        <w:gridCol w:w="109"/>
        <w:gridCol w:w="109"/>
        <w:gridCol w:w="109"/>
        <w:gridCol w:w="281"/>
        <w:gridCol w:w="281"/>
        <w:gridCol w:w="399"/>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u w:val="single"/>
              </w:rPr>
            </w:pPr>
            <w:r>
              <w:rPr>
                <w:rFonts w:ascii="Arial;sans-serif" w:hAnsi="Arial;sans-serif"/>
                <w:b/>
                <w:color w:val="000000"/>
                <w:sz w:val="16"/>
                <w:u w:val="single"/>
              </w:rPr>
              <w:t>(in millions)</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(0.2)%</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(0.7)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O&amp;R net sales for the six months ended June 30, 2026 decreased slightly, reflecting soft demand, partially offset by favorable pricing and contributions from launches of product innovations. Changes in foreign currency favorably impacted net sales by $4 million, or approximately 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loss for the six months ended June 30, 2026 was $3 million as compared to operating income of $3 million in the prior-year period. The change in operating performance was attributable to an $8 million increase in advertising and promotion spending to support new market entry initiatives and new product launches. Operating income benefited from the recording of a refund of approximately $7 million associated with IEEPA Tariffs expensed in 2025, which was partially offset by inflationary pressures.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believes the extent of the impact of the rapidly changing retail and consumer landscape, which reflects an increased focus by retailers to rebalance inventory levels, inflationary pressures and uncertainty over the volatility and direction of future demand patterns on the Company’s future sales, operating results, cash flows, liquidity and financial condition, will continue to be driven by numerous evolving factors the Company cannot accurately predict and which will vary. The Company has taken actions to further strengthen its financial position and balance sheet, and maintain financial liquidity and flexibility.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believes these actions and its cash generating capability, together with its borrowing capacity and available cash and cash equivalents, provide adequate liquidity, both in the near-term and longer-term, to fund its operations, support its growth platforms, pay down debt and debt maturities as they come due and execute its ongoing business initiatives. The Company regularly assesses its cash requirements and the available sources to fund these needs.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For further information, refer to </w:t>
      </w:r>
      <w:r>
        <w:rPr>
          <w:rFonts w:ascii="Arial;sans-serif" w:hAnsi="Arial;sans-serif"/>
          <w:b w:val="false"/>
          <w:i/>
          <w:color w:val="000000"/>
          <w:sz w:val="20"/>
        </w:rPr>
        <w:t>Risk Factors in Part I - Item 1A and Recent Developments and Liquidity and Capital Resources in Part II - Item 7. Management’s Discussion and Analysis of Financial Condition and Results of Operation</w:t>
      </w:r>
      <w:r>
        <w:rPr>
          <w:rFonts w:ascii="Arial;sans-serif" w:hAnsi="Arial;sans-serif"/>
          <w:b w:val="false"/>
          <w:color w:val="000000"/>
          <w:sz w:val="20"/>
        </w:rPr>
        <w:t>s of the Company's most recent Annual Report on Form 10-K, filed on February 13,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At June 30, 2026, the Company had cash and cash equivalents of approximately $209 million, of which approximately $144 million was held by the Company’s non-U.S. subsidiaries.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Cash, cash equivalents and restricted cash increased (decreased) as follows for the six months ended June 30, 2026 and 2025 (in millions): </w:t>
      </w:r>
    </w:p>
    <w:tbl>
      <w:tblPr>
        <w:tblW w:w="10205" w:type="dxa"/>
        <w:jc w:val="left"/>
        <w:tblInd w:w="0" w:type="dxa"/>
        <w:tblLayout w:type="fixed"/>
        <w:tblCellMar>
          <w:top w:w="28" w:type="dxa"/>
          <w:left w:w="28" w:type="dxa"/>
          <w:bottom w:w="28" w:type="dxa"/>
          <w:right w:w="28" w:type="dxa"/>
        </w:tblCellMar>
      </w:tblPr>
      <w:tblGrid>
        <w:gridCol w:w="2141"/>
        <w:gridCol w:w="1872"/>
        <w:gridCol w:w="1885"/>
        <w:gridCol w:w="211"/>
        <w:gridCol w:w="539"/>
        <w:gridCol w:w="109"/>
        <w:gridCol w:w="109"/>
        <w:gridCol w:w="109"/>
        <w:gridCol w:w="109"/>
        <w:gridCol w:w="211"/>
        <w:gridCol w:w="539"/>
        <w:gridCol w:w="109"/>
        <w:gridCol w:w="109"/>
        <w:gridCol w:w="109"/>
        <w:gridCol w:w="109"/>
        <w:gridCol w:w="549"/>
        <w:gridCol w:w="979"/>
        <w:gridCol w:w="407"/>
      </w:tblGrid>
      <w:tr>
        <w:trPr/>
        <w:tc>
          <w:tcPr>
            <w:tcW w:w="214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Increase (Decrease)</w:t>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financing activities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Exchange rate effect on cash, cash equivalents and restricted cash</w:t>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w:t>
            </w:r>
          </w:p>
        </w:tc>
        <w:tc>
          <w:tcPr>
            <w:tcW w:w="4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has historically generated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 from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change in net cash used in operating activities reflects higher net income, favorable changes in working capital and lower incentive compensation payment, partially offset by higher restructuring payments.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 from Investing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change in net cash used in investing activities was primarily due to a $34 million decrease in capital expenditures offset by cash used for transactions related to certain hedging instruments.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 from Financing Activities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change in net cash provided by financing activities primarily reflected lower borrowings under the Credit Revolver (as defined hereafter) during the current period. </w:t>
      </w:r>
      <w:r>
        <w:rPr>
          <w:rFonts w:ascii="Arial;sans-serif" w:hAnsi="Arial;sans-serif"/>
          <w:b w:val="false"/>
          <w:color w:val="212529"/>
          <w:sz w:val="20"/>
        </w:rPr>
        <w:t>See</w:t>
      </w:r>
      <w:r>
        <w:rPr>
          <w:color w:val="212529"/>
        </w:rPr>
        <w:t xml:space="preserve"> </w:t>
      </w:r>
      <w:r>
        <w:rPr>
          <w:rFonts w:ascii="Arial;sans-serif" w:hAnsi="Arial;sans-serif"/>
          <w:b w:val="false"/>
          <w:i/>
          <w:color w:val="212529"/>
          <w:sz w:val="20"/>
        </w:rPr>
        <w:t>Footnote 8 of the Notes to Unaudited Condensed Consolidated Financial Statements</w:t>
      </w:r>
      <w:r>
        <w:rPr>
          <w:color w:val="212529"/>
        </w:rPr>
        <w:t xml:space="preserve"> </w:t>
      </w:r>
      <w:r>
        <w:rPr>
          <w:rFonts w:ascii="Arial;sans-serif" w:hAnsi="Arial;sans-serif"/>
          <w:b w:val="false"/>
          <w:color w:val="212529"/>
          <w:sz w:val="20"/>
        </w:rPr>
        <w:t>for further information on the Credit Revolver.</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Credit Revolver and New ABL 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Through July 30, 2026 the Company maintained a $1.00 billion senior secured revolving credit facility (the “Credit Revolver”) maturing in August 2027. Under the Credit Revolver, the Company could borrow funds on a variety of interest terms. The Credit Revolver agreement (i) required the Company to satisfy financial covenants testing the Company’s Collateral Coverage Ratio and Total Net Leverage Ratio (each further defined in the Credit Revolver, as amended), (ii) required the Company and certain of its domestic and foreign subsidiaries (the “Guarantors”) to guaranty Company obligations under the Credit Revolver and (iii) required the Company and other Guarantors to grant a lien and security interest in certain assets consisting of eligible accounts receivables, eligible inventory, eligible equipment and eligible intellectual property, and all products and proceeds of the foregoing, subject to certain limitations.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than outstanding borrowings under the Credit Revolver, availability under the Credit Revolver was subject to change in accordance with the terms of the agreement, including in response to changes in the Company’s pledged collateral value or outstanding letters of credit under the Credit Revolver. At June 30, 2026, there was $969 million of availability under the Credit Revolver, based on the value of the pledged collateral and prior to giving effect to outstanding borrowings and letters of credit.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Credit Revolver provided for the issuance of up to $150 million of letters of credit, so long as there was sufficient availability for borrowing under the Credit Revolver. At June 30, 2026, the Company had approximately $48 million of outstanding standby letters of credit issued against the Credit Revolver and $470 million of outstanding borrowings under the Credit Revolver, resulting in a net availability of approximately $451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the Closing Date, the Company, Newell Brands Ireland Services DAC, as a subsidiary borrower, and certain domestic and foreign subsidiary guarantors, entered into a five-year asset-based revolving facility with a syndicate of banks led by JPMorgan Chase Bank, N.A., as administrative agent, pursuant to the ABL Credit Agreement governing the New ABL Credit Facility in the amount of up to $800 million, subject to a borrowing base comprised of, without limitation, qualified cash, accounts receivable, inventory, equipment and intellectual property, and incurred $490 million of borrowings and used $490 million of such borrowings under the New ABL Credit Agreement to repay borrowings under and refinance and replace the Credit Revolver.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New ABL Credit Facility matures on the earlier of (i) July 30, 2031, as such date may be extended in accordance with the New ABL Credit Agreement, and (ii) solely to the extent that any indebtedness in an aggregate principal amount of $125 million or more (“Material Indebtedness”) is outstanding as of the 91st day prior to the then earliest scheduled maturity date of such Material Indebtedness and each day thereafter until and including the scheduled maturity date of such Material Indebtedness, the date that is 91 days prior to the then-stated maturity date of such Material Indebtedness.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outstanding borrowings under the New ABL Credit Facility, availability under the New ABL Credit Facility is subject to change in accordance with the terms of the New ABL Credit Agreement, including in response to changes in the Company’s borrowing base or outstanding letters of credit under the New ABL Credit Facility. At the Closing Date, there was $754 million of availability under the New ABL Credit Facility, based on the borrowing base and prior to giving effect to outstanding borrowings and letters of credit. The New ABL Credit Facility provides for the issuance of up to $150 million of letters of credit, so long as there is sufficient availability for borrowing under the New ABL Credit Facility. As of the Closing Date, the Company had approximately $48 million of outstanding standby letters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credit issued against the New ABL Credit Facility and $490 million of outstanding borrowings under the New ABL Credit Facility, resulting in a net availability of approximately $216 million.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212529"/>
          <w:sz w:val="20"/>
        </w:rPr>
        <w:t>See</w:t>
      </w:r>
      <w:r>
        <w:rPr>
          <w:color w:val="212529"/>
        </w:rPr>
        <w:t xml:space="preserve"> </w:t>
      </w:r>
      <w:r>
        <w:rPr>
          <w:rFonts w:ascii="Arial;sans-serif" w:hAnsi="Arial;sans-serif"/>
          <w:b w:val="false"/>
          <w:i/>
          <w:color w:val="212529"/>
          <w:sz w:val="20"/>
        </w:rPr>
        <w:t xml:space="preserve">Footnotes 8 and 15 of the Notes to Unaudited Condensed Consolidated Financial Statements </w:t>
      </w:r>
      <w:r>
        <w:rPr>
          <w:rFonts w:ascii="Arial;sans-serif" w:hAnsi="Arial;sans-serif"/>
          <w:b w:val="false"/>
          <w:color w:val="212529"/>
          <w:sz w:val="20"/>
        </w:rPr>
        <w:t xml:space="preserve">for further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was in compliance with all of its debt covenants at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 Management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From time to time, the Company enters into derivative transactions to hedge its exposures to interest rate, foreign currency rate and commodity price fluctuations. The Company does not enter into derivative transactions for trading purposes.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See </w:t>
      </w:r>
      <w:r>
        <w:rPr>
          <w:rFonts w:ascii="Arial;sans-serif" w:hAnsi="Arial;sans-serif"/>
          <w:b w:val="false"/>
          <w:i/>
          <w:color w:val="000000"/>
          <w:sz w:val="20"/>
        </w:rPr>
        <w:t>Footnote 9</w:t>
      </w:r>
      <w:r>
        <w:rPr>
          <w:color w:val="000000"/>
        </w:rPr>
        <w:t xml:space="preserve"> </w:t>
      </w:r>
      <w:r>
        <w:rPr>
          <w:rFonts w:ascii="Arial;sans-serif" w:hAnsi="Arial;sans-serif"/>
          <w:b w:val="false"/>
          <w:i/>
          <w:color w:val="212529"/>
          <w:sz w:val="20"/>
        </w:rPr>
        <w:t>of the Notes to Unaudited Condensed Consolidated Financial Statements</w:t>
      </w:r>
      <w:r>
        <w:rPr>
          <w:color w:val="212529"/>
        </w:rPr>
        <w:t xml:space="preserve"> </w:t>
      </w:r>
      <w:r>
        <w:rPr>
          <w:rFonts w:ascii="Arial;sans-serif" w:hAnsi="Arial;sans-serif"/>
          <w:b w:val="false"/>
          <w:color w:val="000000"/>
          <w:sz w:val="20"/>
        </w:rPr>
        <w:t>for further information on the Company's derivative instruments.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Significant Accounting Policies and Critical Estimates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For further information on significant accounting policies and critical estimates, refer to the Company's most recent Annual Report on Form 10-K, filed on February 13, 2026 and </w:t>
      </w:r>
      <w:r>
        <w:rPr>
          <w:rFonts w:ascii="Arial;sans-serif" w:hAnsi="Arial;sans-serif"/>
          <w:b w:val="false"/>
          <w:i/>
          <w:color w:val="000000"/>
          <w:sz w:val="20"/>
        </w:rPr>
        <w:t xml:space="preserve">Footnote 1 </w:t>
      </w:r>
      <w:r>
        <w:rPr>
          <w:rFonts w:ascii="Arial;sans-serif" w:hAnsi="Arial;sans-serif"/>
          <w:b w:val="false"/>
          <w:i/>
          <w:color w:val="212529"/>
          <w:sz w:val="20"/>
        </w:rPr>
        <w:t xml:space="preserve">of the Notes to Unaudited Condensed Consolidated Financial Statements </w:t>
      </w:r>
      <w:r>
        <w:rPr>
          <w:rFonts w:ascii="Arial;sans-serif" w:hAnsi="Arial;sans-serif"/>
          <w:b w:val="false"/>
          <w:color w:val="000000"/>
          <w:sz w:val="20"/>
        </w:rPr>
        <w:t xml:space="preserve">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00" w:after="283"/>
        <w:jc w:val="both"/>
        <w:rPr/>
      </w:pPr>
      <w:r>
        <w:rPr>
          <w:rFonts w:ascii="Arial;sans-serif" w:hAnsi="Arial;sans-serif"/>
          <w:b w:val="false"/>
          <w:color w:val="000000"/>
          <w:sz w:val="20"/>
        </w:rPr>
        <w:t xml:space="preserve">There have been no material changes from the information previously reported under </w:t>
      </w:r>
      <w:r>
        <w:rPr>
          <w:rFonts w:ascii="Arial;sans-serif" w:hAnsi="Arial;sans-serif"/>
          <w:b w:val="false"/>
          <w:i/>
          <w:color w:val="000000"/>
          <w:sz w:val="20"/>
        </w:rPr>
        <w:t>Part II, Item 7A.</w:t>
      </w:r>
      <w:r>
        <w:rPr>
          <w:color w:val="000000"/>
        </w:rPr>
        <w:t xml:space="preserve"> </w:t>
      </w:r>
      <w:r>
        <w:rPr>
          <w:rFonts w:ascii="Arial;sans-serif" w:hAnsi="Arial;sans-serif"/>
          <w:b w:val="false"/>
          <w:color w:val="000000"/>
          <w:sz w:val="20"/>
        </w:rPr>
        <w:t>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maintains disclosure controls and procedures that are designed to provide reasonable assurance that information which is required to be disclosed by the issuer in the reports that it files or submits under the Securities Exchange Act of 1934, as amended (the “Exchange Act”), is recorded, processed, summarized and reported within the time periods specified in the SEC’s rules and forms, and that such information is accumulated and communicated to management, including its Chief Executive Officer (the “CEO”) and Chief Financial Officer (the “CFO”), as appropriate, to allow timely decisions regarding required disclosure. In designing and evaluating such controls and procedures, the Company recognizes that any controls and procedures, no matter how well designed and operated, can provide only reasonable assurance of achieving the desired control objectives.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required by Rule 13a-15(b) of the Exchange Act, the Company’s management, including the Company’s CEO and CFO, have evaluated the effectiveness of the Company’s disclosure controls and procedures as of the end of the period covered by this Quarterly Report. Based on that evaluation, the Company’s CEO and CFO have concluded that the Company’s disclosure controls and procedures were effective as of June 30, 2026.</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have been no changes in the Company’s internal control over financial reporting during the quarter ended June 30, 2026,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00" w:after="283"/>
        <w:jc w:val="both"/>
        <w:rPr/>
      </w:pPr>
      <w:r>
        <w:rPr>
          <w:rFonts w:ascii="Arial;sans-serif" w:hAnsi="Arial;sans-serif"/>
          <w:b w:val="false"/>
          <w:color w:val="000000"/>
          <w:sz w:val="20"/>
        </w:rPr>
        <w:t xml:space="preserve">Information required under this Item is contained above in </w:t>
      </w:r>
      <w:r>
        <w:rPr>
          <w:rFonts w:ascii="Arial;sans-serif" w:hAnsi="Arial;sans-serif"/>
          <w:b w:val="false"/>
          <w:i/>
          <w:color w:val="000000"/>
          <w:sz w:val="20"/>
        </w:rPr>
        <w:t>Part I. Financial Information, Item 1</w:t>
      </w:r>
      <w:r>
        <w:rPr>
          <w:color w:val="000000"/>
        </w:rPr>
        <w:t xml:space="preserve"> </w:t>
      </w:r>
      <w:r>
        <w:rPr>
          <w:rFonts w:ascii="Arial;sans-serif" w:hAnsi="Arial;sans-serif"/>
          <w:b w:val="false"/>
          <w:color w:val="000000"/>
          <w:sz w:val="20"/>
        </w:rPr>
        <w:t>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There have been no material changes in our risk factors from those disclosed in </w:t>
      </w:r>
      <w:r>
        <w:rPr>
          <w:rFonts w:ascii="Arial;sans-serif" w:hAnsi="Arial;sans-serif"/>
          <w:b w:val="false"/>
          <w:i/>
          <w:color w:val="000000"/>
          <w:sz w:val="20"/>
        </w:rPr>
        <w:t>Part I, Item 1A.</w:t>
      </w:r>
      <w:r>
        <w:rPr>
          <w:color w:val="000000"/>
        </w:rPr>
        <w:t xml:space="preserve"> </w:t>
      </w:r>
      <w:r>
        <w:rPr>
          <w:rFonts w:ascii="Arial;sans-serif" w:hAnsi="Arial;sans-serif"/>
          <w:b w:val="false"/>
          <w:color w:val="000000"/>
          <w:sz w:val="20"/>
        </w:rPr>
        <w:t>of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Unregistered Sales of Equity Securities, Use of Proceeds and Issuer Purchases of Equity Securities</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Issuer Purchases of Equity Securities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following table provides information about the Company’s purchases of equity securities during the three months ended June 30, 2026: </w:t>
      </w:r>
    </w:p>
    <w:tbl>
      <w:tblPr>
        <w:tblW w:w="10205" w:type="dxa"/>
        <w:jc w:val="left"/>
        <w:tblInd w:w="0" w:type="dxa"/>
        <w:tblLayout w:type="fixed"/>
        <w:tblCellMar>
          <w:top w:w="28" w:type="dxa"/>
          <w:left w:w="28" w:type="dxa"/>
          <w:bottom w:w="28" w:type="dxa"/>
          <w:right w:w="28" w:type="dxa"/>
        </w:tblCellMar>
      </w:tblPr>
      <w:tblGrid>
        <w:gridCol w:w="395"/>
        <w:gridCol w:w="347"/>
        <w:gridCol w:w="349"/>
        <w:gridCol w:w="428"/>
        <w:gridCol w:w="428"/>
        <w:gridCol w:w="396"/>
        <w:gridCol w:w="109"/>
        <w:gridCol w:w="109"/>
        <w:gridCol w:w="109"/>
        <w:gridCol w:w="217"/>
        <w:gridCol w:w="556"/>
        <w:gridCol w:w="113"/>
        <w:gridCol w:w="109"/>
        <w:gridCol w:w="109"/>
        <w:gridCol w:w="109"/>
        <w:gridCol w:w="1271"/>
        <w:gridCol w:w="1271"/>
        <w:gridCol w:w="1275"/>
        <w:gridCol w:w="109"/>
        <w:gridCol w:w="109"/>
        <w:gridCol w:w="109"/>
        <w:gridCol w:w="595"/>
        <w:gridCol w:w="1145"/>
        <w:gridCol w:w="438"/>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u w:val="single"/>
              </w:rPr>
            </w:pPr>
            <w:r>
              <w:rPr>
                <w:rFonts w:ascii="Arial;sans-serif" w:hAnsi="Arial;sans-serif"/>
                <w:b/>
                <w:color w:val="000000"/>
                <w:sz w:val="16"/>
                <w:u w:val="single"/>
              </w:rPr>
              <w:t>Calendar Month</w:t>
            </w:r>
          </w:p>
        </w:tc>
        <w:tc>
          <w:tcPr>
            <w:tcW w:w="12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Number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of Shares</w:t>
            </w:r>
          </w:p>
          <w:p>
            <w:pPr>
              <w:pStyle w:val="TableContents"/>
              <w:bidi w:val="0"/>
              <w:spacing w:lineRule="auto" w:line="288" w:before="0" w:after="0"/>
              <w:jc w:val="center"/>
              <w:rPr/>
            </w:pPr>
            <w:r>
              <w:rPr>
                <w:rFonts w:ascii="Arial;sans-serif" w:hAnsi="Arial;sans-serif"/>
                <w:b/>
                <w:color w:val="000000"/>
                <w:sz w:val="16"/>
              </w:rPr>
              <w:t>Purchased</w:t>
            </w:r>
            <w:r>
              <w:rPr>
                <w:color w:val="000000"/>
              </w:rPr>
              <w:t xml:space="preserve">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 Paid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Maximum</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Approximate Dollar Value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Shares that May Yet Be Purchased</w:t>
            </w:r>
          </w:p>
          <w:p>
            <w:pPr>
              <w:pStyle w:val="TableContents"/>
              <w:bidi w:val="0"/>
              <w:spacing w:lineRule="auto" w:line="288" w:before="0" w:after="0"/>
              <w:ind w:left="0" w:right="0" w:hanging="180"/>
              <w:jc w:val="center"/>
              <w:rPr>
                <w:rFonts w:ascii="Arial;sans-serif" w:hAnsi="Arial;sans-serif"/>
                <w:b/>
                <w:color w:val="000000"/>
                <w:sz w:val="16"/>
              </w:rPr>
            </w:pPr>
            <w:r>
              <w:rPr>
                <w:rFonts w:ascii="Arial;sans-serif" w:hAnsi="Arial;sans-serif"/>
                <w:b/>
                <w:color w:val="000000"/>
                <w:sz w:val="16"/>
              </w:rPr>
              <w:t>Under the Plans or Programs</w:t>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April</w:t>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w:t>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143,491 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55,012 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85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198,503</w:t>
            </w:r>
            <w:r>
              <w:rPr>
                <w:color w:val="000000"/>
              </w:rPr>
              <w:t> </w:t>
            </w:r>
          </w:p>
        </w:tc>
        <w:tc>
          <w:tcPr>
            <w:tcW w:w="3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3.72</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both"/>
        <w:rPr>
          <w:rFonts w:ascii="Arial;sans-serif" w:hAnsi="Arial;sans-serif"/>
          <w:b w:val="false"/>
          <w:color w:val="000000"/>
          <w:sz w:val="16"/>
        </w:rPr>
      </w:pPr>
      <w:r>
        <w:rPr>
          <w:rFonts w:ascii="Arial;sans-serif" w:hAnsi="Arial;sans-serif"/>
          <w:b w:val="false"/>
          <w:color w:val="000000"/>
          <w:sz w:val="16"/>
        </w:rPr>
        <w:t xml:space="preserve">(a)Shares purchased during the three months ended June 30, 2026 were acquired by the Company based on their fair market value on the vesting date in order to satisfy employees’ tax withholding and payment obligations in connection with the vesting of awards of restricted stock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 of the Company’s directors and officers adopted, modified or terminated a Rule 10b5-1 trading arrangement or a non-Rule 10b5-1 trading arrangement during the Company’s fiscal quarter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                 </w:t>
      </w:r>
    </w:p>
    <w:tbl>
      <w:tblPr>
        <w:tblW w:w="10205" w:type="dxa"/>
        <w:jc w:val="left"/>
        <w:tblInd w:w="0" w:type="dxa"/>
        <w:tblLayout w:type="fixed"/>
        <w:tblCellMar>
          <w:top w:w="28" w:type="dxa"/>
          <w:left w:w="28" w:type="dxa"/>
          <w:bottom w:w="28" w:type="dxa"/>
          <w:right w:w="28" w:type="dxa"/>
        </w:tblCellMar>
      </w:tblPr>
      <w:tblGrid>
        <w:gridCol w:w="434"/>
        <w:gridCol w:w="381"/>
        <w:gridCol w:w="382"/>
        <w:gridCol w:w="109"/>
        <w:gridCol w:w="109"/>
        <w:gridCol w:w="109"/>
        <w:gridCol w:w="2629"/>
        <w:gridCol w:w="2502"/>
        <w:gridCol w:w="3550"/>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Description of Exhibit</w:t>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ITEM 10 — MATERIAL CONTRACTS</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18"/>
                <w:u w:val="single"/>
                <w:b w:val="false"/>
                <w:rFonts w:ascii="Arial;sans-serif" w:hAnsi="Arial;sans-serif"/>
                <w:color w:val="0000FF"/>
              </w:rPr>
              <w:instrText xml:space="preserve"> HYPERLINK "https://www.sec.gov/ix?doc=/Archives/edgar/data/814453/000119312526126289/d52719ddef14a.htm" \l "toc52719_17"</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Newell Brands Inc. 2026 Incentive Plan (incorporated by reference to Appendix A of the Company’s Proxy Statement dated March 26, 2026, File No. 001-09608).</w:t>
            </w:r>
            <w:r>
              <w:rPr>
                <w:rStyle w:val="InternetLink"/>
                <w:sz w:val="18"/>
                <w:u w:val="single"/>
                <w:b w:val="false"/>
                <w:rFonts w:ascii="Arial;sans-serif" w:hAnsi="Arial;sans-serif"/>
                <w:color w:val="0000FF"/>
              </w:rPr>
              <w:fldChar w:fldCharType="end"/>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ITEM 31 — RULE 13a-14(a)/15d-14(a) CERTIFICATIONS</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exhibit311-ceocertificatio.htm">
              <w:r>
                <w:rPr>
                  <w:rStyle w:val="InternetLink"/>
                  <w:rFonts w:ascii="Arial;sans-serif" w:hAnsi="Arial;sans-serif"/>
                  <w:b w:val="false"/>
                  <w:color w:val="0000FF"/>
                  <w:sz w:val="18"/>
                  <w:u w:val="single"/>
                </w:rPr>
                <w:t>Certification of Chief Executive Officer Pursuant to Rule 13a-14(a) or Rule 15d-14(a), as Adopted Pursuant to Section 302 of the Sarbanes-Oxley Act of 2002.</w:t>
              </w:r>
            </w:hyperlink>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exhibit312-cfocertificatio.htm">
              <w:r>
                <w:rPr>
                  <w:rStyle w:val="InternetLink"/>
                  <w:rFonts w:ascii="Arial;sans-serif" w:hAnsi="Arial;sans-serif"/>
                  <w:b w:val="false"/>
                  <w:color w:val="0000FF"/>
                  <w:sz w:val="18"/>
                  <w:u w:val="single"/>
                </w:rPr>
                <w:t>Certification of Chief Financial Officer Pursuant to Rule 13a-14(a) or Rule 15d-14(a), as Adopted Pursuant to Section 302 of the Sarbanes-Oxley Act of 2002.</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ITEM 32 — SECTION 1350 CERTIFICATIONS</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exhibit321-ceocertificatio.htm">
              <w:r>
                <w:rPr>
                  <w:rStyle w:val="InternetLink"/>
                  <w:rFonts w:ascii="Arial;sans-serif" w:hAnsi="Arial;sans-serif"/>
                  <w:b w:val="false"/>
                  <w:color w:val="0000FF"/>
                  <w:sz w:val="18"/>
                  <w:u w:val="single"/>
                </w:rPr>
                <w:t>Certification of Chief Executive Officer Pursuant to 18 U.S.C. Section 1350, as Adopted Pursuant to Section 906 of the Sarbanes-Oxley Act of 2002.</w:t>
              </w:r>
            </w:hyperlink>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exhibit322-cfocertificatio.htm">
              <w:r>
                <w:rPr>
                  <w:rStyle w:val="InternetLink"/>
                  <w:rFonts w:ascii="Arial;sans-serif" w:hAnsi="Arial;sans-serif"/>
                  <w:b w:val="false"/>
                  <w:color w:val="0000FF"/>
                  <w:sz w:val="18"/>
                  <w:u w:val="single"/>
                </w:rPr>
                <w:t>Certification of Chief Financial Officer Pursuant to 18 U.S.C. Section 1350, as Adopted Pursuant to Section 906 of the Sarbanes-Oxley Act of 2002.</w:t>
              </w:r>
            </w:hyperlink>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ITEM 101 — INTERACTIVE DATA FILE</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XBRL Taxonomy Extension Schema</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XBRL Taxonomy Extension Calculation Linkbase</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XBRL Taxonomy Extension Definition Linkbase</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XBRL Taxonomy Extension Label Linkbase</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XBRL Taxonomy Extension Presentation Linkbase</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bl>
    <w:p>
      <w:pPr>
        <w:pStyle w:val="TextBody"/>
        <w:bidi w:val="0"/>
        <w:spacing w:lineRule="auto" w:line="288" w:before="0" w:after="0"/>
        <w:jc w:val="left"/>
        <w:rPr/>
      </w:pPr>
      <w:r>
        <w:rPr>
          <w:rFonts w:ascii="Arial;sans-serif" w:hAnsi="Arial;sans-serif"/>
          <w:b/>
          <w:color w:val="000000"/>
          <w:sz w:val="16"/>
        </w:rPr>
        <w:t xml:space="preserve">* </w:t>
      </w:r>
      <w:r>
        <w:rPr>
          <w:rFonts w:ascii="Arial;sans-serif" w:hAnsi="Arial;sans-serif"/>
          <w:b w:val="false"/>
          <w:color w:val="000000"/>
          <w:sz w:val="16"/>
        </w:rPr>
        <w:t>Represents management contracts and compensatory plans and arrangements.</w:t>
      </w:r>
    </w:p>
    <w:p>
      <w:pPr>
        <w:pStyle w:val="TextBody"/>
        <w:bidi w:val="0"/>
        <w:spacing w:lineRule="auto" w:line="288" w:before="0" w:after="0"/>
        <w:jc w:val="left"/>
        <w:rPr/>
      </w:pPr>
      <w:r>
        <w:rPr>
          <w:color w:val="000000"/>
        </w:rPr>
        <w:t xml:space="preserve">† </w:t>
      </w:r>
      <w:r>
        <w:rPr>
          <w:rFonts w:ascii="Arial;sans-serif" w:hAnsi="Arial;sans-serif"/>
          <w:b w:val="false"/>
          <w:color w:val="000000"/>
          <w:sz w:val="16"/>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c71071ec34b41d3b386a61ba213f29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jc w:val="left"/>
        <w:rPr/>
      </w:pPr>
      <w:r>
        <w:rPr/>
      </w:r>
    </w:p>
    <w:tbl>
      <w:tblPr>
        <w:tblW w:w="4807" w:type="dxa"/>
        <w:jc w:val="left"/>
        <w:tblInd w:w="0" w:type="dxa"/>
        <w:tblLayout w:type="fixed"/>
        <w:tblCellMar>
          <w:top w:w="28" w:type="dxa"/>
          <w:left w:w="28" w:type="dxa"/>
          <w:bottom w:w="28" w:type="dxa"/>
          <w:right w:w="28" w:type="dxa"/>
        </w:tblCellMar>
      </w:tblPr>
      <w:tblGrid>
        <w:gridCol w:w="211"/>
        <w:gridCol w:w="186"/>
        <w:gridCol w:w="188"/>
        <w:gridCol w:w="424"/>
        <w:gridCol w:w="424"/>
        <w:gridCol w:w="426"/>
        <w:gridCol w:w="109"/>
        <w:gridCol w:w="109"/>
        <w:gridCol w:w="109"/>
        <w:gridCol w:w="749"/>
        <w:gridCol w:w="749"/>
        <w:gridCol w:w="751"/>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NEWELL BRANDS INC.</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/s/ Mark J. Erceg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 J. Erceg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Robert A. Schmidt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Robert A. Schmidt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362" w:before="0" w:after="16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362" w:before="180" w:after="16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362" w:before="0" w:after="160"/>
        <w:jc w:val="left"/>
        <w:rPr/>
      </w:pPr>
      <w:r>
        <w:rPr>
          <w:rFonts w:ascii="Arial;sans-serif" w:hAnsi="Arial;sans-serif"/>
          <w:b w:val="false"/>
          <w:color w:val="000000"/>
          <w:sz w:val="20"/>
        </w:rPr>
        <w:t xml:space="preserve">I, </w:t>
      </w:r>
      <w:r>
        <w:rPr>
          <w:rFonts w:ascii="Arial;sans-serif" w:hAnsi="Arial;sans-serif"/>
          <w:b/>
          <w:color w:val="000000"/>
          <w:sz w:val="20"/>
        </w:rPr>
        <w:t>Christopher H. Peterson</w:t>
      </w:r>
      <w:r>
        <w:rPr>
          <w:rFonts w:ascii="Arial;sans-serif" w:hAnsi="Arial;sans-serif"/>
          <w:b w:val="false"/>
          <w:color w:val="000000"/>
          <w:sz w:val="20"/>
        </w:rPr>
        <w:t xml:space="preserve">, certify that: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18"/>
        <w:gridCol w:w="900"/>
        <w:gridCol w:w="900"/>
        <w:gridCol w:w="2438"/>
        <w:gridCol w:w="1757"/>
        <w:gridCol w:w="25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for Newell Brands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r>
        <w:trPr/>
        <w:tc>
          <w:tcPr>
            <w:tcW w:w="346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w:t>
            </w:r>
          </w:p>
        </w:tc>
        <w:tc>
          <w:tcPr>
            <w:tcW w:w="6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r>
        <w:trPr/>
        <w:tc>
          <w:tcPr>
            <w:tcW w:w="346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w:t>
            </w:r>
          </w:p>
        </w:tc>
        <w:tc>
          <w:tcPr>
            <w:tcW w:w="6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r>
        <w:trPr/>
        <w:tc>
          <w:tcPr>
            <w:tcW w:w="346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(c)</w:t>
            </w:r>
          </w:p>
        </w:tc>
        <w:tc>
          <w:tcPr>
            <w:tcW w:w="6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r>
        <w:trPr/>
        <w:tc>
          <w:tcPr>
            <w:tcW w:w="346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w:t>
            </w:r>
          </w:p>
        </w:tc>
        <w:tc>
          <w:tcPr>
            <w:tcW w:w="6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r>
        <w:trPr/>
        <w:tc>
          <w:tcPr>
            <w:tcW w:w="346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w:t>
            </w:r>
          </w:p>
        </w:tc>
        <w:tc>
          <w:tcPr>
            <w:tcW w:w="6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346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w:t>
            </w:r>
          </w:p>
        </w:tc>
        <w:tc>
          <w:tcPr>
            <w:tcW w:w="6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160" w:after="283"/>
        <w:jc w:val="left"/>
        <w:rPr/>
      </w:pPr>
      <w:r>
        <w:rPr/>
      </w:r>
    </w:p>
    <w:p>
      <w:pPr>
        <w:pStyle w:val="TextBody"/>
        <w:bidi w:val="0"/>
        <w:spacing w:lineRule="auto" w:line="333" w:before="160" w:after="283"/>
        <w:jc w:val="left"/>
        <w:rPr>
          <w:rFonts w:ascii="Arial;sans-serif" w:hAnsi="Arial;sans-serif"/>
          <w:b w:val="false"/>
          <w:color w:val="000000"/>
          <w:sz w:val="20"/>
        </w:rPr>
      </w:pPr>
      <w:r>
        <w:rPr>
          <w:rFonts w:ascii="Arial;sans-serif" w:hAnsi="Arial;sans-serif"/>
          <w:b w:val="false"/>
          <w:color w:val="000000"/>
          <w:sz w:val="20"/>
        </w:rPr>
        <w:t>Date: July 31,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/s/ Christopher H. Peterson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Christopher H. Peterson</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2" w:before="0" w:after="16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362" w:before="180" w:after="16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362" w:before="0" w:after="0"/>
        <w:jc w:val="left"/>
        <w:rPr/>
      </w:pPr>
      <w:r>
        <w:rPr>
          <w:rFonts w:ascii="Arial;sans-serif" w:hAnsi="Arial;sans-serif"/>
          <w:b w:val="false"/>
          <w:color w:val="000000"/>
          <w:sz w:val="20"/>
        </w:rPr>
        <w:t xml:space="preserve">I, </w:t>
      </w:r>
      <w:r>
        <w:rPr>
          <w:rFonts w:ascii="Arial;sans-serif" w:hAnsi="Arial;sans-serif"/>
          <w:b/>
          <w:color w:val="000000"/>
          <w:sz w:val="20"/>
        </w:rPr>
        <w:t>Mark J. Erceg</w:t>
      </w:r>
      <w:r>
        <w:rPr>
          <w:rFonts w:ascii="Arial;sans-serif" w:hAnsi="Arial;sans-serif"/>
          <w:b w:val="false"/>
          <w:color w:val="000000"/>
          <w:sz w:val="20"/>
        </w:rPr>
        <w:t>, certify that: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17"/>
        <w:gridCol w:w="899"/>
        <w:gridCol w:w="899"/>
        <w:gridCol w:w="2439"/>
        <w:gridCol w:w="1758"/>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for Newell Brands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5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w:t>
            </w:r>
          </w:p>
        </w:tc>
        <w:tc>
          <w:tcPr>
            <w:tcW w:w="67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r>
        <w:trPr/>
        <w:tc>
          <w:tcPr>
            <w:tcW w:w="345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w:t>
            </w:r>
          </w:p>
        </w:tc>
        <w:tc>
          <w:tcPr>
            <w:tcW w:w="67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r>
        <w:trPr/>
        <w:tc>
          <w:tcPr>
            <w:tcW w:w="345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(c)</w:t>
            </w:r>
          </w:p>
        </w:tc>
        <w:tc>
          <w:tcPr>
            <w:tcW w:w="67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r>
        <w:trPr/>
        <w:tc>
          <w:tcPr>
            <w:tcW w:w="345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w:t>
            </w:r>
          </w:p>
        </w:tc>
        <w:tc>
          <w:tcPr>
            <w:tcW w:w="67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5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w:t>
            </w:r>
          </w:p>
        </w:tc>
        <w:tc>
          <w:tcPr>
            <w:tcW w:w="67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5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w:t>
            </w:r>
          </w:p>
        </w:tc>
        <w:tc>
          <w:tcPr>
            <w:tcW w:w="67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180" w:after="160"/>
        <w:jc w:val="both"/>
        <w:rPr/>
      </w:pPr>
      <w:r>
        <w:rPr/>
      </w:r>
    </w:p>
    <w:p>
      <w:pPr>
        <w:pStyle w:val="TextBody"/>
        <w:bidi w:val="0"/>
        <w:spacing w:lineRule="auto" w:line="362" w:before="180" w:after="160"/>
        <w:jc w:val="both"/>
        <w:rPr>
          <w:rFonts w:ascii="Arial;sans-serif" w:hAnsi="Arial;sans-serif"/>
          <w:b w:val="false"/>
          <w:color w:val="000000"/>
          <w:sz w:val="20"/>
        </w:rPr>
      </w:pPr>
      <w:r>
        <w:rPr>
          <w:rFonts w:ascii="Arial;sans-serif" w:hAnsi="Arial;sans-serif"/>
          <w:b w:val="false"/>
          <w:color w:val="000000"/>
          <w:sz w:val="20"/>
        </w:rPr>
        <w:t>Date: July 31, 2026</w:t>
      </w:r>
    </w:p>
    <w:p>
      <w:pPr>
        <w:pStyle w:val="TextBody"/>
        <w:bidi w:val="0"/>
        <w:spacing w:before="180" w:after="16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 xml:space="preserve">/s/ Mark J. Erceg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Mark J. Erceg </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160"/>
        <w:jc w:val="left"/>
        <w:rPr/>
      </w:pPr>
      <w:r>
        <w:rPr/>
      </w:r>
    </w:p>
    <w:p>
      <w:pPr>
        <w:pStyle w:val="TextBody"/>
        <w:bidi w:val="0"/>
        <w:spacing w:lineRule="auto" w:line="312" w:before="180" w:after="16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312" w:before="0" w:after="16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312" w:before="0" w:after="16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312" w:before="0" w:after="16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160"/>
        <w:jc w:val="both"/>
        <w:rPr/>
      </w:pPr>
      <w:r>
        <w:rPr>
          <w:rFonts w:ascii="Arial;sans-serif" w:hAnsi="Arial;sans-serif"/>
          <w:b w:val="false"/>
          <w:color w:val="000000"/>
          <w:sz w:val="20"/>
        </w:rPr>
        <w:t xml:space="preserve">In connection with the quarterly report of Newell Brands Inc. (the “Company”) on Form 10-Q for the period ended June 30, 2026 as filed with the Securities and Exchange Commission on the date hereof (the “Report”), I, </w:t>
      </w:r>
      <w:r>
        <w:rPr>
          <w:rFonts w:ascii="Arial;sans-serif" w:hAnsi="Arial;sans-serif"/>
          <w:b/>
          <w:color w:val="000000"/>
          <w:sz w:val="20"/>
        </w:rPr>
        <w:t>Christopher H. Peterson, President and Chief Executive Officer</w:t>
      </w:r>
      <w:r>
        <w:rPr>
          <w:color w:val="000000"/>
        </w:rPr>
        <w:t xml:space="preserve"> </w:t>
      </w:r>
      <w:r>
        <w:rPr>
          <w:rFonts w:ascii="Arial;sans-serif" w:hAnsi="Arial;sans-serif"/>
          <w:b w:val="false"/>
          <w:color w:val="000000"/>
          <w:sz w:val="20"/>
        </w:rPr>
        <w:t>of the Company, certify, pursuant to 18 U.S.C. § 1350, as adopted pursuant to § 906 of the Sarbanes-Oxley Act of 2002, that:</w:t>
      </w:r>
    </w:p>
    <w:p>
      <w:pPr>
        <w:pStyle w:val="TextBody"/>
        <w:bidi w:val="0"/>
        <w:spacing w:lineRule="auto" w:line="312" w:before="180" w:after="160"/>
        <w:ind w:left="0" w:right="0" w:firstLine="495"/>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bidi w:val="0"/>
        <w:spacing w:lineRule="auto" w:line="312" w:before="180" w:after="160"/>
        <w:ind w:left="0" w:right="0" w:firstLine="495"/>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180" w:after="160"/>
        <w:ind w:left="0" w:right="0" w:firstLine="495"/>
        <w:jc w:val="both"/>
        <w:rPr/>
      </w:pPr>
      <w:r>
        <w:rPr/>
      </w:r>
    </w:p>
    <w:p>
      <w:pPr>
        <w:pStyle w:val="TextBody"/>
        <w:bidi w:val="0"/>
        <w:spacing w:before="180" w:after="160"/>
        <w:ind w:left="0" w:right="0" w:firstLine="495"/>
        <w:jc w:val="both"/>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/s/ Christopher H. Peterson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Christopher H. Peterson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Date: July 31,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before="0" w:after="160"/>
        <w:jc w:val="left"/>
        <w:rPr/>
      </w:pPr>
      <w:r>
        <w:rPr/>
      </w:r>
    </w:p>
    <w:p>
      <w:pPr>
        <w:pStyle w:val="TextBody"/>
        <w:bidi w:val="0"/>
        <w:spacing w:lineRule="auto" w:line="312" w:before="180" w:after="16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312" w:before="0" w:after="16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312" w:before="0" w:after="16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312" w:before="0" w:after="16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160"/>
        <w:jc w:val="both"/>
        <w:rPr/>
      </w:pPr>
      <w:r>
        <w:rPr>
          <w:rFonts w:ascii="Arial;sans-serif" w:hAnsi="Arial;sans-serif"/>
          <w:b w:val="false"/>
          <w:color w:val="000000"/>
          <w:sz w:val="20"/>
        </w:rPr>
        <w:t xml:space="preserve">In connection with the quarterly report of Newell Brands Inc. (the “Company”) on Form 10-Q for the period ended June 30, 2026 as filed with the Securities and Exchange Commission on the date hereof (the “Report”), I, </w:t>
      </w:r>
      <w:r>
        <w:rPr>
          <w:rFonts w:ascii="Arial;sans-serif" w:hAnsi="Arial;sans-serif"/>
          <w:b/>
          <w:color w:val="000000"/>
          <w:sz w:val="20"/>
        </w:rPr>
        <w:t>Mark J. Erceg</w:t>
      </w:r>
      <w:r>
        <w:rPr>
          <w:rFonts w:ascii="Arial;sans-serif" w:hAnsi="Arial;sans-serif"/>
          <w:b w:val="false"/>
          <w:color w:val="000000"/>
          <w:sz w:val="20"/>
        </w:rPr>
        <w:t>, Chief Financial Officer of the Company, certify, pursuant to 18 U.S.C. § 1350, as adopted pursuant to § 906 of the Sarbanes-Oxley Act of 2002, that:</w:t>
      </w:r>
    </w:p>
    <w:p>
      <w:pPr>
        <w:pStyle w:val="TextBody"/>
        <w:bidi w:val="0"/>
        <w:spacing w:lineRule="auto" w:line="312" w:before="180" w:after="160"/>
        <w:ind w:left="0" w:right="0" w:firstLine="495"/>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bidi w:val="0"/>
        <w:spacing w:lineRule="auto" w:line="312" w:before="180" w:after="160"/>
        <w:ind w:left="0" w:right="0" w:firstLine="495"/>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180" w:after="160"/>
        <w:ind w:left="0" w:right="0" w:firstLine="495"/>
        <w:jc w:val="both"/>
        <w:rPr/>
      </w:pPr>
      <w:r>
        <w:rPr/>
      </w:r>
    </w:p>
    <w:p>
      <w:pPr>
        <w:pStyle w:val="TextBody"/>
        <w:bidi w:val="0"/>
        <w:spacing w:before="180" w:after="160"/>
        <w:ind w:left="0" w:right="0" w:firstLine="495"/>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/s/ Mark J. Erceg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 J. Erceg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Date: July 31, 2026</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19847</Words>
  <Characters>109860</Characters>
  <CharactersWithSpaces>128310</CharactersWithSpaces>
  <Paragraphs>2492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